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48" w:rsidRPr="00341748" w:rsidRDefault="00341748" w:rsidP="00016B2D">
      <w:pPr>
        <w:spacing w:after="0" w:line="240" w:lineRule="auto"/>
        <w:jc w:val="right"/>
        <w:rPr>
          <w:i/>
          <w:iCs/>
          <w:lang w:val="uk-UA"/>
        </w:rPr>
      </w:pPr>
      <w:r>
        <w:rPr>
          <w:b/>
          <w:bCs/>
          <w:i/>
          <w:iCs/>
        </w:rPr>
        <w:t xml:space="preserve">ДОДАТОК </w:t>
      </w:r>
      <w:r>
        <w:rPr>
          <w:b/>
          <w:bCs/>
          <w:i/>
          <w:iCs/>
          <w:lang w:val="uk-UA"/>
        </w:rPr>
        <w:t>2</w:t>
      </w:r>
    </w:p>
    <w:p w:rsidR="00341748" w:rsidRPr="00DC5EB5" w:rsidRDefault="00341748" w:rsidP="00DC5EB5">
      <w:pPr>
        <w:spacing w:after="0" w:line="240" w:lineRule="auto"/>
        <w:jc w:val="right"/>
        <w:rPr>
          <w:i/>
          <w:iCs/>
          <w:lang w:val="uk-UA"/>
        </w:rPr>
      </w:pPr>
      <w:r w:rsidRPr="00341748">
        <w:rPr>
          <w:i/>
          <w:iCs/>
        </w:rPr>
        <w:t>до тендерної документації</w:t>
      </w:r>
    </w:p>
    <w:p w:rsidR="00341748" w:rsidRPr="00341748" w:rsidRDefault="00341748" w:rsidP="00341748">
      <w:pPr>
        <w:jc w:val="center"/>
        <w:rPr>
          <w:rFonts w:asciiTheme="majorHAnsi" w:hAnsiTheme="majorHAnsi" w:cstheme="majorHAnsi"/>
          <w:b/>
          <w:bCs/>
          <w:sz w:val="28"/>
          <w:szCs w:val="28"/>
          <w:lang w:val="uk-UA"/>
        </w:rPr>
      </w:pPr>
      <w:r w:rsidRPr="00341748">
        <w:rPr>
          <w:rFonts w:asciiTheme="majorHAnsi" w:hAnsiTheme="majorHAnsi" w:cstheme="majorHAnsi"/>
          <w:b/>
          <w:bCs/>
          <w:sz w:val="28"/>
          <w:szCs w:val="28"/>
          <w:lang w:val="uk-UA"/>
        </w:rPr>
        <w:t>Технічні вимоги до предмета закупівлі</w:t>
      </w:r>
    </w:p>
    <w:p w:rsidR="00341748" w:rsidRPr="00341748" w:rsidRDefault="00341748" w:rsidP="00341748">
      <w:pPr>
        <w:rPr>
          <w:b/>
          <w:lang w:val="uk-UA"/>
        </w:rPr>
      </w:pPr>
      <w:r w:rsidRPr="00341748">
        <w:rPr>
          <w:b/>
          <w:lang w:val="uk-UA"/>
        </w:rPr>
        <w:t>Предмет закупівлі та обсяги:</w:t>
      </w:r>
    </w:p>
    <w:tbl>
      <w:tblPr>
        <w:tblW w:w="9889" w:type="dxa"/>
        <w:tblLayout w:type="fixed"/>
        <w:tblLook w:val="00A0" w:firstRow="1" w:lastRow="0" w:firstColumn="1" w:lastColumn="0" w:noHBand="0" w:noVBand="0"/>
      </w:tblPr>
      <w:tblGrid>
        <w:gridCol w:w="897"/>
        <w:gridCol w:w="3285"/>
        <w:gridCol w:w="3023"/>
        <w:gridCol w:w="1208"/>
        <w:gridCol w:w="1476"/>
      </w:tblGrid>
      <w:tr w:rsidR="00341748" w:rsidRPr="00341748" w:rsidTr="00341748">
        <w:trPr>
          <w:trHeight w:val="491"/>
        </w:trPr>
        <w:tc>
          <w:tcPr>
            <w:tcW w:w="897" w:type="dxa"/>
            <w:vMerge w:val="restart"/>
            <w:tcBorders>
              <w:top w:val="single" w:sz="4" w:space="0" w:color="auto"/>
              <w:left w:val="single" w:sz="4" w:space="0" w:color="auto"/>
              <w:bottom w:val="single" w:sz="4" w:space="0" w:color="auto"/>
              <w:right w:val="nil"/>
            </w:tcBorders>
            <w:shd w:val="clear" w:color="auto" w:fill="EEEEEE"/>
          </w:tcPr>
          <w:p w:rsidR="00341748" w:rsidRPr="00341748" w:rsidRDefault="00341748" w:rsidP="00341748">
            <w:pPr>
              <w:rPr>
                <w:b/>
                <w:bCs/>
                <w:lang w:val="uk-UA"/>
              </w:rPr>
            </w:pPr>
            <w:r w:rsidRPr="00341748">
              <w:rPr>
                <w:b/>
                <w:bCs/>
                <w:lang w:val="uk-UA"/>
              </w:rPr>
              <w:t>№</w:t>
            </w:r>
          </w:p>
        </w:tc>
        <w:tc>
          <w:tcPr>
            <w:tcW w:w="3285" w:type="dxa"/>
            <w:vMerge w:val="restart"/>
            <w:tcBorders>
              <w:top w:val="single" w:sz="4" w:space="0" w:color="auto"/>
              <w:left w:val="single" w:sz="4" w:space="0" w:color="auto"/>
              <w:bottom w:val="single" w:sz="4" w:space="0" w:color="auto"/>
              <w:right w:val="single" w:sz="4" w:space="0" w:color="auto"/>
            </w:tcBorders>
            <w:shd w:val="clear" w:color="auto" w:fill="EEEEEE"/>
          </w:tcPr>
          <w:p w:rsidR="00341748" w:rsidRPr="00341748" w:rsidRDefault="00341748" w:rsidP="00341748">
            <w:pPr>
              <w:rPr>
                <w:b/>
                <w:bCs/>
                <w:lang w:val="uk-UA"/>
              </w:rPr>
            </w:pPr>
            <w:r w:rsidRPr="00341748">
              <w:rPr>
                <w:b/>
                <w:bCs/>
                <w:lang w:val="uk-UA"/>
              </w:rPr>
              <w:t xml:space="preserve">Найменування предмету закупівлі </w:t>
            </w:r>
          </w:p>
        </w:tc>
        <w:tc>
          <w:tcPr>
            <w:tcW w:w="3023" w:type="dxa"/>
            <w:vMerge w:val="restart"/>
            <w:tcBorders>
              <w:top w:val="single" w:sz="4" w:space="0" w:color="auto"/>
              <w:left w:val="single" w:sz="4" w:space="0" w:color="auto"/>
              <w:bottom w:val="single" w:sz="4" w:space="0" w:color="auto"/>
              <w:right w:val="single" w:sz="4" w:space="0" w:color="auto"/>
            </w:tcBorders>
            <w:shd w:val="clear" w:color="auto" w:fill="EEEEEE"/>
          </w:tcPr>
          <w:p w:rsidR="00341748" w:rsidRPr="00341748" w:rsidRDefault="00341748" w:rsidP="00341748">
            <w:pPr>
              <w:rPr>
                <w:b/>
                <w:bCs/>
                <w:lang w:val="uk-UA"/>
              </w:rPr>
            </w:pPr>
            <w:r w:rsidRPr="00341748">
              <w:rPr>
                <w:b/>
                <w:bCs/>
                <w:lang w:val="uk-UA"/>
              </w:rPr>
              <w:t>Опис та характеристика предмету закупівлі</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EEEEEE"/>
          </w:tcPr>
          <w:p w:rsidR="00341748" w:rsidRPr="00341748" w:rsidRDefault="00341748" w:rsidP="00341748">
            <w:pPr>
              <w:rPr>
                <w:b/>
                <w:bCs/>
                <w:lang w:val="uk-UA"/>
              </w:rPr>
            </w:pPr>
            <w:r w:rsidRPr="00341748">
              <w:rPr>
                <w:b/>
                <w:bCs/>
                <w:lang w:val="uk-UA"/>
              </w:rPr>
              <w:t>Одиниця виміру</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EEEEEE"/>
          </w:tcPr>
          <w:p w:rsidR="00341748" w:rsidRPr="00341748" w:rsidRDefault="00341748" w:rsidP="00341748">
            <w:pPr>
              <w:rPr>
                <w:b/>
                <w:bCs/>
                <w:lang w:val="uk-UA"/>
              </w:rPr>
            </w:pPr>
            <w:proofErr w:type="spellStart"/>
            <w:r w:rsidRPr="00341748">
              <w:rPr>
                <w:b/>
                <w:bCs/>
                <w:lang w:val="uk-UA"/>
              </w:rPr>
              <w:t>Кіл-сть</w:t>
            </w:r>
            <w:proofErr w:type="spellEnd"/>
          </w:p>
        </w:tc>
      </w:tr>
      <w:tr w:rsidR="00341748" w:rsidRPr="00341748" w:rsidTr="00DC5EB5">
        <w:trPr>
          <w:trHeight w:val="491"/>
        </w:trPr>
        <w:tc>
          <w:tcPr>
            <w:tcW w:w="897" w:type="dxa"/>
            <w:vMerge/>
            <w:tcBorders>
              <w:top w:val="single" w:sz="4" w:space="0" w:color="auto"/>
              <w:left w:val="single" w:sz="4" w:space="0" w:color="auto"/>
              <w:bottom w:val="single" w:sz="4" w:space="0" w:color="auto"/>
              <w:right w:val="nil"/>
            </w:tcBorders>
            <w:vAlign w:val="center"/>
          </w:tcPr>
          <w:p w:rsidR="00341748" w:rsidRPr="00341748" w:rsidRDefault="00341748" w:rsidP="00341748">
            <w:pPr>
              <w:rPr>
                <w:b/>
                <w:bCs/>
                <w:lang w:val="uk-UA"/>
              </w:rPr>
            </w:pPr>
          </w:p>
        </w:tc>
        <w:tc>
          <w:tcPr>
            <w:tcW w:w="3285" w:type="dxa"/>
            <w:vMerge/>
            <w:tcBorders>
              <w:top w:val="single" w:sz="4" w:space="0" w:color="auto"/>
              <w:left w:val="single" w:sz="4" w:space="0" w:color="auto"/>
              <w:bottom w:val="single" w:sz="4" w:space="0" w:color="auto"/>
              <w:right w:val="single" w:sz="4" w:space="0" w:color="auto"/>
            </w:tcBorders>
            <w:vAlign w:val="center"/>
          </w:tcPr>
          <w:p w:rsidR="00341748" w:rsidRPr="00341748" w:rsidRDefault="00341748" w:rsidP="00341748">
            <w:pPr>
              <w:rPr>
                <w:b/>
                <w:bCs/>
                <w:lang w:val="uk-UA"/>
              </w:rPr>
            </w:pPr>
          </w:p>
        </w:tc>
        <w:tc>
          <w:tcPr>
            <w:tcW w:w="3023" w:type="dxa"/>
            <w:vMerge/>
            <w:tcBorders>
              <w:top w:val="single" w:sz="4" w:space="0" w:color="auto"/>
              <w:left w:val="single" w:sz="4" w:space="0" w:color="auto"/>
              <w:bottom w:val="single" w:sz="4" w:space="0" w:color="auto"/>
              <w:right w:val="single" w:sz="4" w:space="0" w:color="auto"/>
            </w:tcBorders>
            <w:vAlign w:val="center"/>
          </w:tcPr>
          <w:p w:rsidR="00341748" w:rsidRPr="00341748" w:rsidRDefault="00341748" w:rsidP="00341748">
            <w:pPr>
              <w:rPr>
                <w:b/>
                <w:bCs/>
                <w:lang w:val="uk-UA"/>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341748" w:rsidRPr="00341748" w:rsidRDefault="00341748" w:rsidP="00341748">
            <w:pPr>
              <w:rPr>
                <w:b/>
                <w:bCs/>
                <w:lang w:val="uk-UA"/>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341748" w:rsidRPr="00341748" w:rsidRDefault="00341748" w:rsidP="00341748">
            <w:pPr>
              <w:rPr>
                <w:b/>
                <w:bCs/>
                <w:lang w:val="uk-UA"/>
              </w:rPr>
            </w:pPr>
          </w:p>
        </w:tc>
      </w:tr>
      <w:tr w:rsidR="00341748" w:rsidRPr="00341748" w:rsidTr="00341748">
        <w:trPr>
          <w:trHeight w:val="368"/>
        </w:trPr>
        <w:tc>
          <w:tcPr>
            <w:tcW w:w="897" w:type="dxa"/>
            <w:tcBorders>
              <w:top w:val="single" w:sz="4" w:space="0" w:color="auto"/>
              <w:left w:val="single" w:sz="4" w:space="0" w:color="auto"/>
              <w:bottom w:val="single" w:sz="4" w:space="0" w:color="auto"/>
              <w:right w:val="single" w:sz="4" w:space="0" w:color="auto"/>
            </w:tcBorders>
          </w:tcPr>
          <w:p w:rsidR="00341748" w:rsidRPr="00341748" w:rsidRDefault="00341748" w:rsidP="00341748">
            <w:pPr>
              <w:rPr>
                <w:lang w:val="uk-UA"/>
              </w:rPr>
            </w:pPr>
            <w:r w:rsidRPr="00341748">
              <w:rPr>
                <w:lang w:val="uk-UA"/>
              </w:rPr>
              <w:t>1</w:t>
            </w:r>
          </w:p>
        </w:tc>
        <w:tc>
          <w:tcPr>
            <w:tcW w:w="3285" w:type="dxa"/>
            <w:tcBorders>
              <w:top w:val="single" w:sz="4" w:space="0" w:color="auto"/>
              <w:left w:val="nil"/>
              <w:bottom w:val="single" w:sz="4" w:space="0" w:color="auto"/>
              <w:right w:val="single" w:sz="4" w:space="0" w:color="auto"/>
            </w:tcBorders>
          </w:tcPr>
          <w:p w:rsidR="00341748" w:rsidRPr="00341748" w:rsidRDefault="00341748" w:rsidP="00DC5EB5">
            <w:pPr>
              <w:spacing w:after="0" w:line="240" w:lineRule="auto"/>
              <w:rPr>
                <w:lang w:val="uk-UA"/>
              </w:rPr>
            </w:pPr>
            <w:r w:rsidRPr="00341748">
              <w:rPr>
                <w:lang w:val="uk-UA"/>
              </w:rPr>
              <w:t>Бензин марки А-95</w:t>
            </w:r>
          </w:p>
        </w:tc>
        <w:tc>
          <w:tcPr>
            <w:tcW w:w="3023" w:type="dxa"/>
            <w:tcBorders>
              <w:top w:val="single" w:sz="4" w:space="0" w:color="auto"/>
              <w:left w:val="nil"/>
              <w:bottom w:val="single" w:sz="4" w:space="0" w:color="auto"/>
              <w:right w:val="single" w:sz="4" w:space="0" w:color="auto"/>
            </w:tcBorders>
          </w:tcPr>
          <w:p w:rsidR="00341748" w:rsidRPr="00341748" w:rsidRDefault="00341748" w:rsidP="00DC5EB5">
            <w:pPr>
              <w:spacing w:after="0" w:line="240" w:lineRule="auto"/>
              <w:rPr>
                <w:lang w:val="uk-UA"/>
              </w:rPr>
            </w:pPr>
            <w:r w:rsidRPr="00341748">
              <w:rPr>
                <w:lang w:val="uk-UA"/>
              </w:rPr>
              <w:t>талони</w:t>
            </w:r>
          </w:p>
        </w:tc>
        <w:tc>
          <w:tcPr>
            <w:tcW w:w="1208" w:type="dxa"/>
            <w:tcBorders>
              <w:top w:val="single" w:sz="4" w:space="0" w:color="auto"/>
              <w:left w:val="nil"/>
              <w:bottom w:val="single" w:sz="4" w:space="0" w:color="auto"/>
              <w:right w:val="single" w:sz="4" w:space="0" w:color="auto"/>
            </w:tcBorders>
          </w:tcPr>
          <w:p w:rsidR="00341748" w:rsidRPr="00341748" w:rsidRDefault="00341748" w:rsidP="00341748">
            <w:pPr>
              <w:rPr>
                <w:lang w:val="uk-UA"/>
              </w:rPr>
            </w:pPr>
            <w:r w:rsidRPr="00341748">
              <w:rPr>
                <w:lang w:val="uk-UA"/>
              </w:rPr>
              <w:t>літри</w:t>
            </w:r>
          </w:p>
        </w:tc>
        <w:tc>
          <w:tcPr>
            <w:tcW w:w="1476" w:type="dxa"/>
            <w:tcBorders>
              <w:top w:val="single" w:sz="4" w:space="0" w:color="auto"/>
              <w:left w:val="nil"/>
              <w:bottom w:val="single" w:sz="4" w:space="0" w:color="auto"/>
              <w:right w:val="single" w:sz="4" w:space="0" w:color="auto"/>
            </w:tcBorders>
            <w:noWrap/>
          </w:tcPr>
          <w:p w:rsidR="00341748" w:rsidRPr="00341748" w:rsidRDefault="001F7E55" w:rsidP="00341748">
            <w:pPr>
              <w:rPr>
                <w:lang w:val="uk-UA"/>
              </w:rPr>
            </w:pPr>
            <w:r>
              <w:rPr>
                <w:lang w:val="uk-UA"/>
              </w:rPr>
              <w:t>40</w:t>
            </w:r>
            <w:bookmarkStart w:id="0" w:name="_GoBack"/>
            <w:bookmarkEnd w:id="0"/>
            <w:r w:rsidR="00341748">
              <w:rPr>
                <w:lang w:val="uk-UA"/>
              </w:rPr>
              <w:t>00</w:t>
            </w:r>
          </w:p>
        </w:tc>
      </w:tr>
      <w:tr w:rsidR="00341748" w:rsidRPr="00341748" w:rsidTr="00DC5EB5">
        <w:trPr>
          <w:trHeight w:val="257"/>
        </w:trPr>
        <w:tc>
          <w:tcPr>
            <w:tcW w:w="897" w:type="dxa"/>
            <w:tcBorders>
              <w:top w:val="single" w:sz="4" w:space="0" w:color="auto"/>
              <w:left w:val="single" w:sz="4" w:space="0" w:color="auto"/>
              <w:bottom w:val="single" w:sz="4" w:space="0" w:color="auto"/>
              <w:right w:val="single" w:sz="4" w:space="0" w:color="auto"/>
            </w:tcBorders>
          </w:tcPr>
          <w:p w:rsidR="00341748" w:rsidRPr="00341748" w:rsidRDefault="00341748" w:rsidP="00341748">
            <w:pPr>
              <w:rPr>
                <w:lang w:val="uk-UA"/>
              </w:rPr>
            </w:pPr>
            <w:r>
              <w:rPr>
                <w:lang w:val="uk-UA"/>
              </w:rPr>
              <w:t>2</w:t>
            </w:r>
          </w:p>
        </w:tc>
        <w:tc>
          <w:tcPr>
            <w:tcW w:w="3285" w:type="dxa"/>
            <w:tcBorders>
              <w:top w:val="single" w:sz="4" w:space="0" w:color="auto"/>
              <w:left w:val="nil"/>
              <w:bottom w:val="single" w:sz="4" w:space="0" w:color="auto"/>
              <w:right w:val="single" w:sz="4" w:space="0" w:color="auto"/>
            </w:tcBorders>
          </w:tcPr>
          <w:p w:rsidR="00341748" w:rsidRPr="00341748" w:rsidRDefault="00341748" w:rsidP="00DC5EB5">
            <w:pPr>
              <w:spacing w:after="0" w:line="240" w:lineRule="auto"/>
              <w:rPr>
                <w:lang w:val="uk-UA"/>
              </w:rPr>
            </w:pPr>
            <w:r w:rsidRPr="00341748">
              <w:rPr>
                <w:lang w:val="uk-UA"/>
              </w:rPr>
              <w:t>Дизельне паливо</w:t>
            </w:r>
          </w:p>
        </w:tc>
        <w:tc>
          <w:tcPr>
            <w:tcW w:w="3023" w:type="dxa"/>
            <w:tcBorders>
              <w:top w:val="single" w:sz="4" w:space="0" w:color="auto"/>
              <w:left w:val="nil"/>
              <w:bottom w:val="single" w:sz="4" w:space="0" w:color="auto"/>
              <w:right w:val="single" w:sz="4" w:space="0" w:color="auto"/>
            </w:tcBorders>
          </w:tcPr>
          <w:p w:rsidR="00341748" w:rsidRPr="0093612B" w:rsidRDefault="00341748" w:rsidP="00DC5EB5">
            <w:pPr>
              <w:spacing w:after="0" w:line="240" w:lineRule="auto"/>
            </w:pPr>
            <w:r w:rsidRPr="0093612B">
              <w:t>талони</w:t>
            </w:r>
          </w:p>
        </w:tc>
        <w:tc>
          <w:tcPr>
            <w:tcW w:w="1208" w:type="dxa"/>
            <w:tcBorders>
              <w:top w:val="single" w:sz="4" w:space="0" w:color="auto"/>
              <w:left w:val="nil"/>
              <w:bottom w:val="single" w:sz="4" w:space="0" w:color="auto"/>
              <w:right w:val="single" w:sz="4" w:space="0" w:color="auto"/>
            </w:tcBorders>
          </w:tcPr>
          <w:p w:rsidR="00341748" w:rsidRDefault="00341748" w:rsidP="004B686B">
            <w:r w:rsidRPr="0093612B">
              <w:t>літри</w:t>
            </w:r>
          </w:p>
        </w:tc>
        <w:tc>
          <w:tcPr>
            <w:tcW w:w="1476" w:type="dxa"/>
            <w:tcBorders>
              <w:top w:val="single" w:sz="4" w:space="0" w:color="auto"/>
              <w:left w:val="nil"/>
              <w:bottom w:val="single" w:sz="4" w:space="0" w:color="auto"/>
              <w:right w:val="single" w:sz="4" w:space="0" w:color="auto"/>
            </w:tcBorders>
            <w:noWrap/>
          </w:tcPr>
          <w:p w:rsidR="00341748" w:rsidRPr="00341748" w:rsidRDefault="00556315" w:rsidP="00341748">
            <w:pPr>
              <w:rPr>
                <w:lang w:val="uk-UA"/>
              </w:rPr>
            </w:pPr>
            <w:r>
              <w:rPr>
                <w:lang w:val="uk-UA"/>
              </w:rPr>
              <w:t>400</w:t>
            </w:r>
          </w:p>
        </w:tc>
      </w:tr>
      <w:tr w:rsidR="00341748" w:rsidRPr="00341748" w:rsidTr="00DC5EB5">
        <w:trPr>
          <w:trHeight w:val="179"/>
        </w:trPr>
        <w:tc>
          <w:tcPr>
            <w:tcW w:w="897" w:type="dxa"/>
            <w:tcBorders>
              <w:top w:val="single" w:sz="4" w:space="0" w:color="auto"/>
              <w:left w:val="single" w:sz="4" w:space="0" w:color="auto"/>
              <w:bottom w:val="single" w:sz="4" w:space="0" w:color="auto"/>
              <w:right w:val="single" w:sz="4" w:space="0" w:color="auto"/>
            </w:tcBorders>
          </w:tcPr>
          <w:p w:rsidR="00341748" w:rsidRDefault="00341748" w:rsidP="00341748">
            <w:pPr>
              <w:rPr>
                <w:lang w:val="uk-UA"/>
              </w:rPr>
            </w:pPr>
            <w:r>
              <w:rPr>
                <w:lang w:val="uk-UA"/>
              </w:rPr>
              <w:t>3</w:t>
            </w:r>
          </w:p>
        </w:tc>
        <w:tc>
          <w:tcPr>
            <w:tcW w:w="3285" w:type="dxa"/>
            <w:tcBorders>
              <w:top w:val="single" w:sz="4" w:space="0" w:color="auto"/>
              <w:left w:val="nil"/>
              <w:bottom w:val="single" w:sz="4" w:space="0" w:color="auto"/>
              <w:right w:val="single" w:sz="4" w:space="0" w:color="auto"/>
            </w:tcBorders>
          </w:tcPr>
          <w:p w:rsidR="00341748" w:rsidRPr="00341748" w:rsidRDefault="00016B2D" w:rsidP="00DC5EB5">
            <w:pPr>
              <w:spacing w:after="0" w:line="240" w:lineRule="auto"/>
              <w:rPr>
                <w:lang w:val="uk-UA"/>
              </w:rPr>
            </w:pPr>
            <w:r w:rsidRPr="00016B2D">
              <w:rPr>
                <w:lang w:val="uk-UA"/>
              </w:rPr>
              <w:t>Газове паливо</w:t>
            </w:r>
          </w:p>
        </w:tc>
        <w:tc>
          <w:tcPr>
            <w:tcW w:w="3023" w:type="dxa"/>
            <w:tcBorders>
              <w:top w:val="single" w:sz="4" w:space="0" w:color="auto"/>
              <w:left w:val="nil"/>
              <w:bottom w:val="single" w:sz="4" w:space="0" w:color="auto"/>
              <w:right w:val="single" w:sz="4" w:space="0" w:color="auto"/>
            </w:tcBorders>
          </w:tcPr>
          <w:p w:rsidR="00341748" w:rsidRPr="00E80268" w:rsidRDefault="00341748" w:rsidP="00DC5EB5">
            <w:pPr>
              <w:spacing w:after="0" w:line="240" w:lineRule="auto"/>
            </w:pPr>
            <w:r w:rsidRPr="00E80268">
              <w:t>талони</w:t>
            </w:r>
          </w:p>
        </w:tc>
        <w:tc>
          <w:tcPr>
            <w:tcW w:w="1208" w:type="dxa"/>
            <w:tcBorders>
              <w:top w:val="single" w:sz="4" w:space="0" w:color="auto"/>
              <w:left w:val="nil"/>
              <w:bottom w:val="single" w:sz="4" w:space="0" w:color="auto"/>
              <w:right w:val="single" w:sz="4" w:space="0" w:color="auto"/>
            </w:tcBorders>
          </w:tcPr>
          <w:p w:rsidR="00341748" w:rsidRDefault="00341748" w:rsidP="005E709E">
            <w:r w:rsidRPr="00E80268">
              <w:t>літри</w:t>
            </w:r>
          </w:p>
        </w:tc>
        <w:tc>
          <w:tcPr>
            <w:tcW w:w="1476" w:type="dxa"/>
            <w:tcBorders>
              <w:top w:val="single" w:sz="4" w:space="0" w:color="auto"/>
              <w:left w:val="nil"/>
              <w:bottom w:val="single" w:sz="4" w:space="0" w:color="auto"/>
              <w:right w:val="single" w:sz="4" w:space="0" w:color="auto"/>
            </w:tcBorders>
            <w:noWrap/>
          </w:tcPr>
          <w:p w:rsidR="00341748" w:rsidRPr="00341748" w:rsidRDefault="00341748" w:rsidP="00341748">
            <w:pPr>
              <w:rPr>
                <w:lang w:val="uk-UA"/>
              </w:rPr>
            </w:pPr>
            <w:r>
              <w:rPr>
                <w:lang w:val="uk-UA"/>
              </w:rPr>
              <w:t>400</w:t>
            </w:r>
          </w:p>
        </w:tc>
      </w:tr>
    </w:tbl>
    <w:p w:rsidR="00341748" w:rsidRPr="00DC5EB5" w:rsidRDefault="00341748" w:rsidP="00DC5EB5">
      <w:pPr>
        <w:pStyle w:val="a6"/>
        <w:numPr>
          <w:ilvl w:val="0"/>
          <w:numId w:val="8"/>
        </w:numPr>
        <w:tabs>
          <w:tab w:val="left" w:pos="284"/>
        </w:tabs>
        <w:spacing w:after="0"/>
        <w:jc w:val="both"/>
        <w:rPr>
          <w:b/>
          <w:iCs/>
          <w:lang w:val="uk-UA"/>
        </w:rPr>
      </w:pPr>
      <w:r w:rsidRPr="00DC5EB5">
        <w:rPr>
          <w:b/>
          <w:iCs/>
          <w:lang w:val="uk-UA"/>
        </w:rPr>
        <w:t>Товар, що пропонується повинен відповідати:</w:t>
      </w:r>
    </w:p>
    <w:p w:rsidR="0084628B" w:rsidRPr="0084628B" w:rsidRDefault="0084628B" w:rsidP="0084628B">
      <w:pPr>
        <w:tabs>
          <w:tab w:val="left" w:pos="284"/>
        </w:tabs>
        <w:spacing w:after="0"/>
        <w:jc w:val="both"/>
        <w:rPr>
          <w:iCs/>
          <w:lang w:val="uk-UA"/>
        </w:rPr>
      </w:pPr>
      <w:r w:rsidRPr="0084628B">
        <w:rPr>
          <w:iCs/>
          <w:lang w:val="uk-UA"/>
        </w:rPr>
        <w:t>вимогам Державних стандартів  України (ДСТУ), або технічним умовам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p w:rsidR="00341748" w:rsidRPr="00341748" w:rsidRDefault="00341748" w:rsidP="00EC5C88">
      <w:pPr>
        <w:numPr>
          <w:ilvl w:val="0"/>
          <w:numId w:val="5"/>
        </w:numPr>
        <w:tabs>
          <w:tab w:val="left" w:pos="284"/>
        </w:tabs>
        <w:spacing w:after="0"/>
        <w:ind w:left="0" w:firstLine="0"/>
        <w:jc w:val="both"/>
        <w:rPr>
          <w:iCs/>
          <w:lang w:val="uk-UA"/>
        </w:rPr>
      </w:pPr>
      <w:r w:rsidRPr="00341748">
        <w:rPr>
          <w:iCs/>
          <w:lang w:val="uk-UA"/>
        </w:rPr>
        <w:t>Паливо рідинне - дизельне паливо повинно відповідати температурному режиму експлуатації транспортних засобів в регіонах України.</w:t>
      </w:r>
    </w:p>
    <w:p w:rsidR="00341748" w:rsidRPr="00680A44" w:rsidRDefault="00680A44" w:rsidP="00680A44">
      <w:pPr>
        <w:numPr>
          <w:ilvl w:val="0"/>
          <w:numId w:val="5"/>
        </w:numPr>
        <w:tabs>
          <w:tab w:val="left" w:pos="284"/>
        </w:tabs>
        <w:spacing w:after="0"/>
        <w:ind w:left="0" w:firstLine="0"/>
        <w:jc w:val="both"/>
        <w:rPr>
          <w:iCs/>
          <w:lang w:val="uk-UA"/>
        </w:rPr>
      </w:pPr>
      <w:r w:rsidRPr="00680A44">
        <w:rPr>
          <w:iCs/>
          <w:lang w:val="uk-UA"/>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r>
        <w:rPr>
          <w:iCs/>
          <w:lang w:val="uk-UA"/>
        </w:rPr>
        <w:t xml:space="preserve"> </w:t>
      </w:r>
    </w:p>
    <w:p w:rsidR="00341748" w:rsidRPr="00341748" w:rsidRDefault="00341748" w:rsidP="00680A44">
      <w:pPr>
        <w:numPr>
          <w:ilvl w:val="0"/>
          <w:numId w:val="5"/>
        </w:numPr>
        <w:tabs>
          <w:tab w:val="left" w:pos="284"/>
        </w:tabs>
        <w:spacing w:after="0"/>
        <w:ind w:left="0" w:firstLine="0"/>
        <w:jc w:val="both"/>
        <w:rPr>
          <w:iCs/>
          <w:lang w:val="uk-UA"/>
        </w:rPr>
      </w:pPr>
      <w:r w:rsidRPr="00341748">
        <w:rPr>
          <w:iCs/>
          <w:lang w:val="uk-UA"/>
        </w:rPr>
        <w:t>Для підтвердження якості запропонованого Товару учасник повинен надати:</w:t>
      </w:r>
    </w:p>
    <w:p w:rsidR="00341748" w:rsidRPr="00680A44" w:rsidRDefault="00341748" w:rsidP="00680A44">
      <w:pPr>
        <w:tabs>
          <w:tab w:val="left" w:pos="284"/>
        </w:tabs>
        <w:spacing w:after="0"/>
        <w:jc w:val="both"/>
        <w:rPr>
          <w:b/>
          <w:iCs/>
          <w:lang w:val="uk-UA"/>
        </w:rPr>
      </w:pPr>
      <w:r w:rsidRPr="00341748">
        <w:rPr>
          <w:iCs/>
          <w:lang w:val="uk-UA"/>
        </w:rPr>
        <w:t xml:space="preserve">- </w:t>
      </w:r>
      <w:r w:rsidRPr="00680A44">
        <w:rPr>
          <w:b/>
          <w:iCs/>
          <w:lang w:val="uk-UA"/>
        </w:rPr>
        <w:t>сертифікати відповідності українських систем сертифікації на запропонований Товар, чинні на дату розкриття;</w:t>
      </w:r>
    </w:p>
    <w:p w:rsidR="00341748" w:rsidRPr="00680A44" w:rsidRDefault="00341748" w:rsidP="00341748">
      <w:pPr>
        <w:tabs>
          <w:tab w:val="left" w:pos="284"/>
        </w:tabs>
        <w:spacing w:after="0"/>
        <w:jc w:val="both"/>
        <w:rPr>
          <w:b/>
          <w:iCs/>
          <w:lang w:val="uk-UA"/>
        </w:rPr>
      </w:pPr>
      <w:r w:rsidRPr="00680A44">
        <w:rPr>
          <w:b/>
          <w:iCs/>
          <w:lang w:val="uk-UA"/>
        </w:rPr>
        <w:t>- копії паспортів якості на кожну марку запропонованого Товару.</w:t>
      </w:r>
    </w:p>
    <w:p w:rsidR="00341748" w:rsidRPr="00341748" w:rsidRDefault="00341748" w:rsidP="00680A44">
      <w:pPr>
        <w:tabs>
          <w:tab w:val="left" w:pos="284"/>
        </w:tabs>
        <w:spacing w:after="0"/>
        <w:jc w:val="both"/>
        <w:rPr>
          <w:iCs/>
          <w:lang w:val="uk-UA"/>
        </w:rPr>
      </w:pPr>
      <w:r w:rsidRPr="00341748">
        <w:rPr>
          <w:iCs/>
          <w:lang w:val="uk-UA"/>
        </w:rPr>
        <w:t>Вищевказані документи повинні бути видані Виробнику/Постачальнику та/або Учаснику закупівлі.</w:t>
      </w:r>
    </w:p>
    <w:p w:rsidR="00341748" w:rsidRPr="00341748" w:rsidRDefault="00341748" w:rsidP="00016B2D">
      <w:pPr>
        <w:numPr>
          <w:ilvl w:val="0"/>
          <w:numId w:val="5"/>
        </w:numPr>
        <w:tabs>
          <w:tab w:val="left" w:pos="284"/>
        </w:tabs>
        <w:spacing w:after="0"/>
        <w:ind w:left="0" w:firstLine="0"/>
        <w:jc w:val="both"/>
        <w:rPr>
          <w:iCs/>
          <w:lang w:val="uk-UA"/>
        </w:rPr>
      </w:pPr>
      <w:r w:rsidRPr="00341748">
        <w:rPr>
          <w:iCs/>
          <w:lang w:val="uk-UA"/>
        </w:rPr>
        <w:t>Постачальник зобов’язується продавати та відпускати Покупцю Товар по талонам номіналом 10</w:t>
      </w:r>
      <w:r w:rsidR="00680A44">
        <w:rPr>
          <w:iCs/>
          <w:lang w:val="uk-UA"/>
        </w:rPr>
        <w:t xml:space="preserve">л, 15л </w:t>
      </w:r>
      <w:r w:rsidRPr="00341748">
        <w:rPr>
          <w:iCs/>
          <w:lang w:val="uk-UA"/>
        </w:rPr>
        <w:t>або 20л.</w:t>
      </w:r>
    </w:p>
    <w:p w:rsidR="00341748" w:rsidRDefault="00680A44" w:rsidP="00016B2D">
      <w:pPr>
        <w:numPr>
          <w:ilvl w:val="0"/>
          <w:numId w:val="5"/>
        </w:numPr>
        <w:tabs>
          <w:tab w:val="left" w:pos="284"/>
        </w:tabs>
        <w:spacing w:after="0"/>
        <w:ind w:left="0" w:firstLine="0"/>
        <w:jc w:val="both"/>
        <w:rPr>
          <w:iCs/>
          <w:lang w:val="uk-UA"/>
        </w:rPr>
      </w:pPr>
      <w:r w:rsidRPr="00680A44">
        <w:rPr>
          <w:iCs/>
          <w:lang w:val="uk-UA"/>
        </w:rPr>
        <w:t xml:space="preserve">Передача Покупцю товару здійснюється на АЗС учасника в </w:t>
      </w:r>
      <w:proofErr w:type="spellStart"/>
      <w:r w:rsidRPr="00680A44">
        <w:rPr>
          <w:iCs/>
          <w:lang w:val="uk-UA"/>
        </w:rPr>
        <w:t>м.Овруч</w:t>
      </w:r>
      <w:proofErr w:type="spellEnd"/>
      <w:r w:rsidRPr="00680A44">
        <w:rPr>
          <w:iCs/>
          <w:lang w:val="uk-UA"/>
        </w:rPr>
        <w:t xml:space="preserve">, </w:t>
      </w:r>
      <w:proofErr w:type="spellStart"/>
      <w:r w:rsidRPr="00680A44">
        <w:rPr>
          <w:iCs/>
          <w:lang w:val="uk-UA"/>
        </w:rPr>
        <w:t>Коростенсько</w:t>
      </w:r>
      <w:r>
        <w:rPr>
          <w:iCs/>
          <w:lang w:val="uk-UA"/>
        </w:rPr>
        <w:t>го</w:t>
      </w:r>
      <w:proofErr w:type="spellEnd"/>
      <w:r>
        <w:rPr>
          <w:iCs/>
          <w:lang w:val="uk-UA"/>
        </w:rPr>
        <w:t xml:space="preserve"> району, Житомирської області </w:t>
      </w:r>
      <w:r w:rsidRPr="00680A44">
        <w:rPr>
          <w:iCs/>
          <w:lang w:val="uk-UA"/>
        </w:rPr>
        <w:t>шляхом заправки автомобілів покупця при пред’явленні довіреними особами покупця талонів.</w:t>
      </w:r>
      <w:r>
        <w:rPr>
          <w:iCs/>
          <w:lang w:val="uk-UA"/>
        </w:rPr>
        <w:t xml:space="preserve"> </w:t>
      </w:r>
    </w:p>
    <w:p w:rsidR="00680A44" w:rsidRDefault="00680A44" w:rsidP="00016B2D">
      <w:pPr>
        <w:tabs>
          <w:tab w:val="left" w:pos="284"/>
        </w:tabs>
        <w:spacing w:after="0"/>
        <w:jc w:val="both"/>
        <w:rPr>
          <w:iCs/>
          <w:lang w:val="uk-UA"/>
        </w:rPr>
      </w:pPr>
      <w:r w:rsidRPr="00680A44">
        <w:rPr>
          <w:iCs/>
          <w:lang w:val="uk-UA"/>
        </w:rPr>
        <w:t>Заправка автотранспорту повинна здійснюватися відповідно до потреб Замовника з видачею розрахункових документів (фіскальний чек).</w:t>
      </w:r>
    </w:p>
    <w:p w:rsidR="00016B2D" w:rsidRPr="00016B2D" w:rsidRDefault="00016B2D" w:rsidP="00016B2D">
      <w:pPr>
        <w:pStyle w:val="a6"/>
        <w:numPr>
          <w:ilvl w:val="0"/>
          <w:numId w:val="5"/>
        </w:numPr>
        <w:tabs>
          <w:tab w:val="left" w:pos="284"/>
        </w:tabs>
        <w:spacing w:after="0"/>
        <w:ind w:left="0" w:firstLine="0"/>
        <w:jc w:val="both"/>
        <w:rPr>
          <w:iCs/>
          <w:lang w:val="uk-UA"/>
        </w:rPr>
      </w:pPr>
      <w:r w:rsidRPr="00016B2D">
        <w:rPr>
          <w:iCs/>
          <w:lang w:val="uk-UA"/>
        </w:rPr>
        <w:t xml:space="preserve">Для підтвердження можливості отримання Товару на АЗС, яка не є власністю Учасника, він обов’язково надає копію відповідного договору або гарантійний лист про можливість заправки на означеній АЗС.  </w:t>
      </w:r>
    </w:p>
    <w:p w:rsidR="00016B2D" w:rsidRPr="00680A44" w:rsidRDefault="00016B2D" w:rsidP="00016B2D">
      <w:pPr>
        <w:tabs>
          <w:tab w:val="left" w:pos="284"/>
        </w:tabs>
        <w:spacing w:after="0"/>
        <w:jc w:val="both"/>
        <w:rPr>
          <w:iCs/>
          <w:lang w:val="uk-UA"/>
        </w:rPr>
      </w:pPr>
      <w:r w:rsidRPr="00016B2D">
        <w:rPr>
          <w:iCs/>
          <w:lang w:val="uk-UA"/>
        </w:rPr>
        <w:t>Учасник, також, може надати інформацію про перелік всіх АЗС, що обслуговують запропоновані талони або скетч-картки.</w:t>
      </w:r>
    </w:p>
    <w:p w:rsidR="00341748" w:rsidRPr="00680A44" w:rsidRDefault="00341748" w:rsidP="00680A44">
      <w:pPr>
        <w:numPr>
          <w:ilvl w:val="0"/>
          <w:numId w:val="5"/>
        </w:numPr>
        <w:tabs>
          <w:tab w:val="left" w:pos="284"/>
        </w:tabs>
        <w:spacing w:after="0"/>
        <w:ind w:left="0" w:firstLine="0"/>
        <w:jc w:val="both"/>
        <w:rPr>
          <w:b/>
          <w:bCs/>
          <w:iCs/>
          <w:lang w:val="uk-UA"/>
        </w:rPr>
      </w:pPr>
      <w:r w:rsidRPr="00680A44">
        <w:rPr>
          <w:bCs/>
          <w:lang w:val="uk-UA"/>
        </w:rPr>
        <w:t xml:space="preserve">Постачальник зобов’язаний надати </w:t>
      </w:r>
      <w:r w:rsidRPr="00680A44">
        <w:rPr>
          <w:b/>
          <w:bCs/>
          <w:lang w:val="uk-UA"/>
        </w:rPr>
        <w:t>довідку у довільній формі, яка містить інформацію про строк дії талонів, які будуть надані Замовнику (не менше 12-х календарних місяців від дати їх отримання Замовником, з можливим продовженням строку дії ).</w:t>
      </w:r>
    </w:p>
    <w:p w:rsidR="00341748" w:rsidRPr="00DC5EB5" w:rsidRDefault="00680A44" w:rsidP="00341748">
      <w:pPr>
        <w:numPr>
          <w:ilvl w:val="0"/>
          <w:numId w:val="5"/>
        </w:numPr>
        <w:tabs>
          <w:tab w:val="left" w:pos="284"/>
        </w:tabs>
        <w:spacing w:after="0"/>
        <w:ind w:left="0" w:firstLine="0"/>
        <w:jc w:val="both"/>
        <w:rPr>
          <w:iCs/>
          <w:lang w:val="uk-UA"/>
        </w:rPr>
      </w:pPr>
      <w:r w:rsidRPr="00680A44">
        <w:rPr>
          <w:iCs/>
          <w:lang w:val="uk-UA"/>
        </w:rPr>
        <w:t>Розрахунки за поставлений товар здійснюються відповідно до вимог Бюджетного Кодексу України, з оплатою шляхом перерахування грошових коштів на банківський рахунок Постачальника на підставі рахунку.</w:t>
      </w:r>
    </w:p>
    <w:p w:rsidR="00341748" w:rsidRPr="00341748" w:rsidRDefault="00341748" w:rsidP="00341748">
      <w:pPr>
        <w:tabs>
          <w:tab w:val="left" w:pos="284"/>
        </w:tabs>
        <w:spacing w:after="0"/>
        <w:jc w:val="both"/>
        <w:rPr>
          <w:b/>
          <w:lang w:val="uk-UA"/>
        </w:rPr>
      </w:pPr>
      <w:r w:rsidRPr="00341748">
        <w:rPr>
          <w:b/>
          <w:lang w:val="uk-UA"/>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341748" w:rsidRPr="00DC5EB5" w:rsidRDefault="00341748" w:rsidP="00DC5EB5">
      <w:pPr>
        <w:tabs>
          <w:tab w:val="left" w:pos="284"/>
        </w:tabs>
        <w:spacing w:after="0"/>
        <w:jc w:val="both"/>
        <w:rPr>
          <w:lang w:val="uk-UA"/>
        </w:rPr>
      </w:pPr>
      <w:r w:rsidRPr="00680A44">
        <w:rPr>
          <w:lang w:val="uk-UA"/>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sectPr w:rsidR="00341748" w:rsidRPr="00DC5EB5" w:rsidSect="00680A44">
      <w:pgSz w:w="11906" w:h="16838"/>
      <w:pgMar w:top="360" w:right="850" w:bottom="180" w:left="1417" w:header="708"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1">
    <w:nsid w:val="0DFF2062"/>
    <w:multiLevelType w:val="multilevel"/>
    <w:tmpl w:val="EC5E581C"/>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2">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hint="default"/>
      </w:rPr>
    </w:lvl>
    <w:lvl w:ilvl="3" w:tplc="04220001">
      <w:start w:val="1"/>
      <w:numFmt w:val="bullet"/>
      <w:lvlText w:val=""/>
      <w:lvlJc w:val="left"/>
      <w:pPr>
        <w:ind w:left="2340" w:hanging="360"/>
      </w:pPr>
      <w:rPr>
        <w:rFonts w:ascii="Symbol" w:hAnsi="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hint="default"/>
      </w:rPr>
    </w:lvl>
    <w:lvl w:ilvl="6" w:tplc="04220001">
      <w:start w:val="1"/>
      <w:numFmt w:val="bullet"/>
      <w:lvlText w:val=""/>
      <w:lvlJc w:val="left"/>
      <w:pPr>
        <w:ind w:left="4500" w:hanging="360"/>
      </w:pPr>
      <w:rPr>
        <w:rFonts w:ascii="Symbol" w:hAnsi="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hint="default"/>
      </w:rPr>
    </w:lvl>
  </w:abstractNum>
  <w:abstractNum w:abstractNumId="4">
    <w:nsid w:val="4E393363"/>
    <w:multiLevelType w:val="hybridMultilevel"/>
    <w:tmpl w:val="C2CA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472D2"/>
    <w:multiLevelType w:val="hybridMultilevel"/>
    <w:tmpl w:val="2CD677D0"/>
    <w:lvl w:ilvl="0" w:tplc="3842C87E">
      <w:start w:val="1"/>
      <w:numFmt w:val="decimal"/>
      <w:lvlText w:val="%1."/>
      <w:lvlJc w:val="left"/>
      <w:pPr>
        <w:ind w:left="-180" w:hanging="360"/>
      </w:pPr>
    </w:lvl>
    <w:lvl w:ilvl="1" w:tplc="04220019">
      <w:start w:val="1"/>
      <w:numFmt w:val="lowerLetter"/>
      <w:lvlText w:val="%2."/>
      <w:lvlJc w:val="left"/>
      <w:pPr>
        <w:ind w:left="540" w:hanging="360"/>
      </w:pPr>
    </w:lvl>
    <w:lvl w:ilvl="2" w:tplc="0422001B">
      <w:start w:val="1"/>
      <w:numFmt w:val="lowerRoman"/>
      <w:lvlText w:val="%3."/>
      <w:lvlJc w:val="right"/>
      <w:pPr>
        <w:ind w:left="1260" w:hanging="180"/>
      </w:pPr>
    </w:lvl>
    <w:lvl w:ilvl="3" w:tplc="0422000F">
      <w:start w:val="1"/>
      <w:numFmt w:val="decimal"/>
      <w:lvlText w:val="%4."/>
      <w:lvlJc w:val="left"/>
      <w:pPr>
        <w:ind w:left="1980" w:hanging="360"/>
      </w:pPr>
    </w:lvl>
    <w:lvl w:ilvl="4" w:tplc="04220019">
      <w:start w:val="1"/>
      <w:numFmt w:val="lowerLetter"/>
      <w:lvlText w:val="%5."/>
      <w:lvlJc w:val="left"/>
      <w:pPr>
        <w:ind w:left="2700" w:hanging="360"/>
      </w:pPr>
    </w:lvl>
    <w:lvl w:ilvl="5" w:tplc="0422001B">
      <w:start w:val="1"/>
      <w:numFmt w:val="lowerRoman"/>
      <w:lvlText w:val="%6."/>
      <w:lvlJc w:val="right"/>
      <w:pPr>
        <w:ind w:left="3420" w:hanging="180"/>
      </w:pPr>
    </w:lvl>
    <w:lvl w:ilvl="6" w:tplc="0422000F">
      <w:start w:val="1"/>
      <w:numFmt w:val="decimal"/>
      <w:lvlText w:val="%7."/>
      <w:lvlJc w:val="left"/>
      <w:pPr>
        <w:ind w:left="4140" w:hanging="360"/>
      </w:pPr>
    </w:lvl>
    <w:lvl w:ilvl="7" w:tplc="04220019">
      <w:start w:val="1"/>
      <w:numFmt w:val="lowerLetter"/>
      <w:lvlText w:val="%8."/>
      <w:lvlJc w:val="left"/>
      <w:pPr>
        <w:ind w:left="4860" w:hanging="360"/>
      </w:pPr>
    </w:lvl>
    <w:lvl w:ilvl="8" w:tplc="0422001B">
      <w:start w:val="1"/>
      <w:numFmt w:val="lowerRoman"/>
      <w:lvlText w:val="%9."/>
      <w:lvlJc w:val="right"/>
      <w:pPr>
        <w:ind w:left="5580" w:hanging="180"/>
      </w:pPr>
    </w:lvl>
  </w:abstractNum>
  <w:abstractNum w:abstractNumId="6">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7713567E"/>
    <w:multiLevelType w:val="hybridMultilevel"/>
    <w:tmpl w:val="52C001E8"/>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48"/>
    <w:rsid w:val="00016B2D"/>
    <w:rsid w:val="001F7E55"/>
    <w:rsid w:val="00341748"/>
    <w:rsid w:val="00556315"/>
    <w:rsid w:val="00680A44"/>
    <w:rsid w:val="0084628B"/>
    <w:rsid w:val="00AF3E2F"/>
    <w:rsid w:val="00DC5EB5"/>
    <w:rsid w:val="00EC5C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4174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41748"/>
  </w:style>
  <w:style w:type="character" w:styleId="a5">
    <w:name w:val="Hyperlink"/>
    <w:basedOn w:val="a0"/>
    <w:uiPriority w:val="99"/>
    <w:unhideWhenUsed/>
    <w:rsid w:val="00341748"/>
    <w:rPr>
      <w:color w:val="000000" w:themeColor="hyperlink"/>
      <w:u w:val="single"/>
    </w:rPr>
  </w:style>
  <w:style w:type="paragraph" w:styleId="a6">
    <w:name w:val="List Paragraph"/>
    <w:basedOn w:val="a"/>
    <w:uiPriority w:val="34"/>
    <w:qFormat/>
    <w:rsid w:val="00016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4174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41748"/>
  </w:style>
  <w:style w:type="character" w:styleId="a5">
    <w:name w:val="Hyperlink"/>
    <w:basedOn w:val="a0"/>
    <w:uiPriority w:val="99"/>
    <w:unhideWhenUsed/>
    <w:rsid w:val="00341748"/>
    <w:rPr>
      <w:color w:val="000000" w:themeColor="hyperlink"/>
      <w:u w:val="single"/>
    </w:rPr>
  </w:style>
  <w:style w:type="paragraph" w:styleId="a6">
    <w:name w:val="List Paragraph"/>
    <w:basedOn w:val="a"/>
    <w:uiPriority w:val="34"/>
    <w:qFormat/>
    <w:rsid w:val="0001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7</cp:revision>
  <dcterms:created xsi:type="dcterms:W3CDTF">2022-08-30T11:11:00Z</dcterms:created>
  <dcterms:modified xsi:type="dcterms:W3CDTF">2022-09-01T09:04:00Z</dcterms:modified>
</cp:coreProperties>
</file>