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w:t>
            </w:r>
            <w:proofErr w:type="spellStart"/>
            <w:r w:rsidRPr="00FC5E29">
              <w:t>Стрийський</w:t>
            </w:r>
            <w:proofErr w:type="spellEnd"/>
            <w:r w:rsidRPr="00FC5E29">
              <w:t xml:space="preserve"> вагоноремонтний завод»</w:t>
            </w:r>
            <w:r>
              <w:t xml:space="preserve"> </w:t>
            </w:r>
            <w:r w:rsidRPr="00FC5E29">
              <w:t>АТ «Українська залізниця»</w:t>
            </w:r>
          </w:p>
          <w:p w:rsidR="005E43AD" w:rsidRPr="008D12C8" w:rsidRDefault="005E43AD" w:rsidP="00D60063">
            <w:pPr>
              <w:pBdr>
                <w:top w:val="nil"/>
                <w:left w:val="nil"/>
                <w:bottom w:val="nil"/>
                <w:right w:val="nil"/>
                <w:between w:val="nil"/>
              </w:pBdr>
              <w:shd w:val="clear" w:color="auto" w:fill="FFFFFF"/>
              <w:ind w:left="851"/>
              <w:jc w:val="center"/>
              <w:rPr>
                <w:b/>
                <w:color w:val="000000"/>
                <w:lang w:val="ru-RU"/>
              </w:rPr>
            </w:pPr>
            <w:r w:rsidRPr="0011671B">
              <w:t xml:space="preserve">від </w:t>
            </w:r>
            <w:r w:rsidR="00D23F08" w:rsidRPr="00D23F08">
              <w:rPr>
                <w:lang w:val="ru-RU"/>
              </w:rPr>
              <w:t>09</w:t>
            </w:r>
            <w:r w:rsidR="00E735BC" w:rsidRPr="00E735BC">
              <w:t>.0</w:t>
            </w:r>
            <w:r w:rsidR="00D23F08" w:rsidRPr="00D23F08">
              <w:rPr>
                <w:lang w:val="ru-RU"/>
              </w:rPr>
              <w:t>5</w:t>
            </w:r>
            <w:r w:rsidR="008B2087" w:rsidRPr="00E735BC">
              <w:t>.2023</w:t>
            </w:r>
            <w:r w:rsidR="00436E51">
              <w:t xml:space="preserve"> </w:t>
            </w:r>
            <w:r w:rsidRPr="00510AA7">
              <w:t>р</w:t>
            </w:r>
            <w:r w:rsidRPr="0011671B">
              <w:t xml:space="preserve">. </w:t>
            </w:r>
            <w:r>
              <w:t xml:space="preserve">протокол </w:t>
            </w:r>
            <w:r w:rsidR="00B3266F">
              <w:t xml:space="preserve">№ </w:t>
            </w:r>
            <w:r w:rsidR="00C21436" w:rsidRPr="00D23F08">
              <w:rPr>
                <w:lang w:val="ru-RU"/>
              </w:rPr>
              <w:t>1</w:t>
            </w:r>
            <w:r w:rsidR="00D23F08" w:rsidRPr="008D12C8">
              <w:rPr>
                <w:lang w:val="ru-RU"/>
              </w:rPr>
              <w:t>17</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863D8B" w:rsidRDefault="00CA7D18" w:rsidP="00CA7D18">
      <w:pPr>
        <w:shd w:val="clear" w:color="auto" w:fill="FFFFFF"/>
        <w:jc w:val="center"/>
        <w:rPr>
          <w:b/>
          <w:sz w:val="28"/>
          <w:szCs w:val="28"/>
        </w:rPr>
      </w:pPr>
      <w:bookmarkStart w:id="0" w:name="_heading=h.gjdgxs" w:colFirst="0" w:colLast="0"/>
      <w:bookmarkEnd w:id="0"/>
      <w:r w:rsidRPr="00E735BC">
        <w:rPr>
          <w:b/>
          <w:sz w:val="28"/>
          <w:szCs w:val="28"/>
        </w:rPr>
        <w:t>ДК 021:2015</w:t>
      </w:r>
      <w:r w:rsidR="00863D8B" w:rsidRPr="00863D8B">
        <w:rPr>
          <w:b/>
          <w:sz w:val="28"/>
          <w:szCs w:val="28"/>
        </w:rPr>
        <w:t>-</w:t>
      </w:r>
      <w:r w:rsidR="00D23F08" w:rsidRPr="00597910">
        <w:rPr>
          <w:rFonts w:eastAsia="Batang"/>
          <w:b/>
          <w:bCs/>
          <w:noProof/>
          <w:sz w:val="28"/>
          <w:szCs w:val="28"/>
          <w:lang w:eastAsia="ru-RU"/>
        </w:rPr>
        <w:t>24310000</w:t>
      </w:r>
      <w:r w:rsidR="007240CA">
        <w:rPr>
          <w:rFonts w:eastAsia="Batang"/>
          <w:b/>
          <w:bCs/>
          <w:noProof/>
          <w:sz w:val="28"/>
          <w:szCs w:val="28"/>
          <w:lang w:eastAsia="ru-RU"/>
        </w:rPr>
        <w:t>-</w:t>
      </w:r>
      <w:r w:rsidR="00D23F08" w:rsidRPr="00597910">
        <w:rPr>
          <w:rFonts w:eastAsia="Batang"/>
          <w:b/>
          <w:bCs/>
          <w:noProof/>
          <w:sz w:val="28"/>
          <w:szCs w:val="28"/>
          <w:lang w:eastAsia="ru-RU"/>
        </w:rPr>
        <w:t>0</w:t>
      </w:r>
      <w:r w:rsidRPr="00E735BC">
        <w:rPr>
          <w:rFonts w:eastAsia="Batang"/>
          <w:b/>
          <w:bCs/>
          <w:noProof/>
          <w:sz w:val="28"/>
          <w:szCs w:val="28"/>
          <w:lang w:eastAsia="ru-RU"/>
        </w:rPr>
        <w:t xml:space="preserve">– </w:t>
      </w:r>
      <w:r w:rsidR="00597910">
        <w:rPr>
          <w:rFonts w:eastAsia="Batang"/>
          <w:b/>
          <w:bCs/>
          <w:noProof/>
          <w:sz w:val="28"/>
          <w:szCs w:val="28"/>
          <w:lang w:eastAsia="ru-RU"/>
        </w:rPr>
        <w:t>Основні неорганічні  хімічні речовини</w:t>
      </w:r>
      <w:r w:rsidR="001433EE" w:rsidRPr="00863D8B">
        <w:rPr>
          <w:rFonts w:eastAsia="Batang"/>
          <w:b/>
          <w:bCs/>
          <w:noProof/>
          <w:sz w:val="28"/>
          <w:szCs w:val="28"/>
          <w:lang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597910" w:rsidP="004F52FB">
      <w:pPr>
        <w:shd w:val="clear" w:color="auto" w:fill="FFFFFF"/>
        <w:jc w:val="center"/>
        <w:rPr>
          <w:b/>
          <w:sz w:val="28"/>
          <w:szCs w:val="28"/>
        </w:rPr>
      </w:pPr>
      <w:r>
        <w:rPr>
          <w:b/>
          <w:sz w:val="28"/>
          <w:szCs w:val="28"/>
        </w:rPr>
        <w:t>Сода  кальцинована марки Б</w:t>
      </w:r>
      <w:r w:rsidR="00863D8B">
        <w:rPr>
          <w:b/>
          <w:sz w:val="28"/>
          <w:szCs w:val="28"/>
        </w:rPr>
        <w:t xml:space="preserve"> </w:t>
      </w:r>
      <w:r w:rsidR="00B95D0B">
        <w:rPr>
          <w:b/>
          <w:sz w:val="28"/>
          <w:szCs w:val="28"/>
        </w:rPr>
        <w:t>.</w:t>
      </w:r>
      <w:r>
        <w:rPr>
          <w:b/>
          <w:sz w:val="28"/>
          <w:szCs w:val="28"/>
        </w:rPr>
        <w:t>-1200 кг</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 xml:space="preserve">від 12.10.2022 року «ОСОБЛИВОСТІ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r w:rsidR="00E735BC" w:rsidRPr="00CB37D9">
                <w:rPr>
                  <w:rStyle w:val="affff0"/>
                  <w:rFonts w:eastAsia="Batang"/>
                  <w:lang w:val="en-US" w:eastAsia="ru-RU"/>
                </w:rPr>
                <w:t>swrz</w:t>
              </w:r>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proofErr w:type="spellStart"/>
              <w:r w:rsidR="00E735BC" w:rsidRPr="00CB37D9">
                <w:rPr>
                  <w:rStyle w:val="affff0"/>
                  <w:rFonts w:eastAsia="Batang"/>
                  <w:lang w:val="en-US" w:eastAsia="ru-RU"/>
                </w:rPr>
                <w:t>ua</w:t>
              </w:r>
              <w:proofErr w:type="spellEnd"/>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597910" w:rsidRPr="004D1E82">
              <w:rPr>
                <w:rFonts w:eastAsia="Batang"/>
                <w:bCs/>
                <w:color w:val="000000"/>
                <w:lang w:eastAsia="ru-RU"/>
              </w:rPr>
              <w:t xml:space="preserve">Економіст ВМТП: </w:t>
            </w:r>
            <w:r w:rsidR="00597910" w:rsidRPr="00E735BC">
              <w:rPr>
                <w:rFonts w:eastAsia="Batang"/>
                <w:bCs/>
                <w:color w:val="000000"/>
                <w:lang w:eastAsia="ru-RU"/>
              </w:rPr>
              <w:t xml:space="preserve">Бойко Романа Петрівна, </w:t>
            </w:r>
            <w:proofErr w:type="spellStart"/>
            <w:r w:rsidR="00597910" w:rsidRPr="00E735BC">
              <w:rPr>
                <w:rFonts w:eastAsia="Batang"/>
                <w:bCs/>
                <w:color w:val="000000"/>
                <w:lang w:eastAsia="ru-RU"/>
              </w:rPr>
              <w:t>тел</w:t>
            </w:r>
            <w:proofErr w:type="spellEnd"/>
            <w:r w:rsidR="00597910" w:rsidRPr="00E735BC">
              <w:rPr>
                <w:rFonts w:eastAsia="Batang"/>
                <w:bCs/>
                <w:color w:val="000000"/>
                <w:lang w:eastAsia="ru-RU"/>
              </w:rPr>
              <w:t>. 0500527866;</w:t>
            </w:r>
            <w:r w:rsidR="00597910" w:rsidRPr="00E735BC">
              <w:rPr>
                <w:rFonts w:eastAsia="Batang"/>
                <w:color w:val="000000"/>
                <w:lang w:eastAsia="ru-RU"/>
              </w:rPr>
              <w:t xml:space="preserve"> </w:t>
            </w:r>
            <w:r w:rsidR="00597910" w:rsidRPr="00E735BC">
              <w:rPr>
                <w:rFonts w:eastAsia="Batang"/>
                <w:bCs/>
                <w:color w:val="000000"/>
                <w:lang w:eastAsia="ru-RU"/>
              </w:rPr>
              <w:t>e-</w:t>
            </w:r>
            <w:proofErr w:type="spellStart"/>
            <w:r w:rsidR="00597910" w:rsidRPr="00E735BC">
              <w:rPr>
                <w:rFonts w:eastAsia="Batang"/>
                <w:bCs/>
                <w:color w:val="000000"/>
                <w:lang w:eastAsia="ru-RU"/>
              </w:rPr>
              <w:t>mail</w:t>
            </w:r>
            <w:proofErr w:type="spellEnd"/>
            <w:r w:rsidR="00597910" w:rsidRPr="00E735BC">
              <w:rPr>
                <w:rFonts w:eastAsia="Batang"/>
                <w:bCs/>
                <w:color w:val="000000"/>
                <w:lang w:eastAsia="ru-RU"/>
              </w:rPr>
              <w:t>:</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 xml:space="preserve">Постанови Кабінету Міністрів України від 12.10.2022 року «ОСОБЛИВОСТІ здійснення публічних </w:t>
            </w:r>
            <w:proofErr w:type="spellStart"/>
            <w:r w:rsidR="0036599C">
              <w:t>закупівель</w:t>
            </w:r>
            <w:proofErr w:type="spellEnd"/>
            <w:r w:rsidR="003659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97910" w:rsidRPr="00725820" w:rsidRDefault="00597910" w:rsidP="00597910">
            <w:pPr>
              <w:shd w:val="clear" w:color="auto" w:fill="FFFFFF"/>
              <w:jc w:val="center"/>
              <w:rPr>
                <w:b/>
                <w:sz w:val="28"/>
                <w:szCs w:val="28"/>
              </w:rPr>
            </w:pPr>
            <w:r w:rsidRPr="00E735BC">
              <w:rPr>
                <w:b/>
                <w:sz w:val="28"/>
                <w:szCs w:val="28"/>
              </w:rPr>
              <w:t xml:space="preserve">ДК 021:2015 </w:t>
            </w:r>
            <w:r w:rsidRPr="00725820">
              <w:rPr>
                <w:rFonts w:eastAsia="Batang"/>
                <w:b/>
                <w:bCs/>
                <w:noProof/>
                <w:sz w:val="28"/>
                <w:szCs w:val="28"/>
                <w:lang w:eastAsia="ru-RU"/>
              </w:rPr>
              <w:t>24310000</w:t>
            </w:r>
            <w:r>
              <w:rPr>
                <w:rFonts w:eastAsia="Batang"/>
                <w:b/>
                <w:bCs/>
                <w:noProof/>
                <w:sz w:val="28"/>
                <w:szCs w:val="28"/>
                <w:lang w:eastAsia="ru-RU"/>
              </w:rPr>
              <w:t>-</w:t>
            </w:r>
            <w:r w:rsidRPr="00725820">
              <w:rPr>
                <w:rFonts w:eastAsia="Batang"/>
                <w:b/>
                <w:bCs/>
                <w:noProof/>
                <w:sz w:val="28"/>
                <w:szCs w:val="28"/>
                <w:lang w:eastAsia="ru-RU"/>
              </w:rPr>
              <w:t>0</w:t>
            </w:r>
            <w:r w:rsidRPr="00E735BC">
              <w:rPr>
                <w:rFonts w:eastAsia="Batang"/>
                <w:b/>
                <w:bCs/>
                <w:noProof/>
                <w:sz w:val="28"/>
                <w:szCs w:val="28"/>
                <w:lang w:eastAsia="ru-RU"/>
              </w:rPr>
              <w:t xml:space="preserve"> – </w:t>
            </w:r>
            <w:r>
              <w:rPr>
                <w:rFonts w:eastAsia="Batang"/>
                <w:b/>
                <w:bCs/>
                <w:noProof/>
                <w:sz w:val="28"/>
                <w:szCs w:val="28"/>
                <w:lang w:eastAsia="ru-RU"/>
              </w:rPr>
              <w:t>Основні неорганічні хімічні речовини.</w:t>
            </w:r>
          </w:p>
          <w:p w:rsidR="00597910" w:rsidRPr="004F52FB" w:rsidRDefault="00597910" w:rsidP="00597910">
            <w:pPr>
              <w:shd w:val="clear" w:color="auto" w:fill="FFFFFF"/>
              <w:jc w:val="center"/>
              <w:rPr>
                <w:b/>
                <w:sz w:val="28"/>
                <w:szCs w:val="28"/>
              </w:rPr>
            </w:pPr>
            <w:r>
              <w:rPr>
                <w:b/>
                <w:sz w:val="28"/>
                <w:szCs w:val="28"/>
              </w:rPr>
              <w:t>Сода кальцинована марки Б – 1200 кг.</w:t>
            </w:r>
          </w:p>
          <w:p w:rsidR="005E43AD" w:rsidRPr="00863D8B" w:rsidRDefault="005E43AD" w:rsidP="002E1AFA">
            <w:pPr>
              <w:shd w:val="clear" w:color="auto" w:fill="FFFFFF"/>
              <w:jc w:val="center"/>
              <w:rPr>
                <w:b/>
                <w:sz w:val="28"/>
                <w:szCs w:val="28"/>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lastRenderedPageBreak/>
              <w:t>закупівель</w:t>
            </w:r>
            <w:proofErr w:type="spellEnd"/>
            <w:r>
              <w:t xml:space="preserve">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7282">
              <w:rPr>
                <w:color w:val="000000"/>
                <w:sz w:val="22"/>
                <w:szCs w:val="22"/>
                <w:shd w:val="solid" w:color="FFFFFF" w:fill="FFFFFF"/>
                <w:lang w:eastAsia="en-US"/>
              </w:rPr>
              <w:t>внести</w:t>
            </w:r>
            <w:proofErr w:type="spellEnd"/>
            <w:r w:rsidRPr="004C7282">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 xml:space="preserve">Тендерні пропозиції після закінчення кінцевого строку їх подання не приймаються електронною системою </w:t>
            </w:r>
            <w:proofErr w:type="spellStart"/>
            <w:r w:rsidRPr="00DE5067">
              <w:t>закупівель</w:t>
            </w:r>
            <w:proofErr w:type="spellEnd"/>
            <w:r w:rsidRPr="00DE5067">
              <w:t>.</w:t>
            </w:r>
          </w:p>
          <w:p w:rsidR="005E43AD" w:rsidRDefault="005E43AD" w:rsidP="0042197F">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w:t>
            </w:r>
            <w:proofErr w:type="spellStart"/>
            <w:r w:rsidR="006040ED" w:rsidRPr="006040ED">
              <w:t>закупівель</w:t>
            </w:r>
            <w:proofErr w:type="spellEnd"/>
            <w:r w:rsidR="006040ED" w:rsidRPr="006040ED">
              <w:t xml:space="preserve">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w:t>
            </w:r>
            <w:proofErr w:type="spellStart"/>
            <w:r w:rsidRPr="00D334A7">
              <w:t>закупівель</w:t>
            </w:r>
            <w:proofErr w:type="spellEnd"/>
            <w:r w:rsidRPr="00D334A7">
              <w:t xml:space="preserve">,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FB4F6B" w:rsidP="0042197F">
            <w:pPr>
              <w:widowControl w:val="0"/>
              <w:shd w:val="clear" w:color="auto" w:fill="FFFFFF"/>
              <w:jc w:val="both"/>
              <w:rPr>
                <w:b/>
              </w:rPr>
            </w:pPr>
            <w:r>
              <w:rPr>
                <w:rFonts w:eastAsia="Batang"/>
                <w:b/>
                <w:bCs/>
                <w:color w:val="000000"/>
                <w:lang w:val="ru-RU" w:eastAsia="ru-RU"/>
              </w:rPr>
              <w:t>17</w:t>
            </w:r>
            <w:r w:rsidR="00C21436">
              <w:rPr>
                <w:rFonts w:eastAsia="Batang"/>
                <w:b/>
                <w:bCs/>
                <w:color w:val="000000"/>
                <w:lang w:eastAsia="ru-RU"/>
              </w:rPr>
              <w:t>.0</w:t>
            </w:r>
            <w:r w:rsidR="00C21436" w:rsidRPr="00D23F08">
              <w:rPr>
                <w:rFonts w:eastAsia="Batang"/>
                <w:b/>
                <w:bCs/>
                <w:color w:val="000000"/>
                <w:lang w:val="ru-RU" w:eastAsia="ru-RU"/>
              </w:rPr>
              <w:t>5</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w:t>
            </w:r>
            <w:proofErr w:type="spellStart"/>
            <w:r>
              <w:rPr>
                <w:color w:val="000000"/>
              </w:rPr>
              <w:t>закупівель</w:t>
            </w:r>
            <w:proofErr w:type="spellEnd"/>
            <w:r>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w:t>
            </w:r>
            <w:proofErr w:type="spellStart"/>
            <w:r w:rsidRPr="00FD0E34">
              <w:t>закупівель</w:t>
            </w:r>
            <w:proofErr w:type="spellEnd"/>
            <w:r w:rsidRPr="00FD0E34">
              <w:t xml:space="preserve">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 xml:space="preserve">Найбільш економічно вигідною тендерною пропозицією електронна система </w:t>
            </w:r>
            <w:proofErr w:type="spellStart"/>
            <w:r>
              <w:rPr>
                <w:color w:val="000000"/>
              </w:rPr>
              <w:t>закупівель</w:t>
            </w:r>
            <w:proofErr w:type="spellEnd"/>
            <w:r>
              <w:rPr>
                <w:color w:val="000000"/>
              </w:rPr>
              <w:t xml:space="preserve">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334A7">
              <w:t>закупівель</w:t>
            </w:r>
            <w:proofErr w:type="spellEnd"/>
            <w:r w:rsidRPr="00D334A7">
              <w:t xml:space="preserve">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2064">
              <w:rPr>
                <w:color w:val="000000"/>
                <w:sz w:val="22"/>
                <w:szCs w:val="22"/>
                <w:shd w:val="solid" w:color="FFFFFF" w:fill="FFFFFF"/>
                <w:lang w:eastAsia="en-US"/>
              </w:rPr>
              <w:t>невідповідностей</w:t>
            </w:r>
            <w:proofErr w:type="spellEnd"/>
            <w:r w:rsidRPr="00502064">
              <w:rPr>
                <w:color w:val="000000"/>
                <w:sz w:val="22"/>
                <w:szCs w:val="22"/>
                <w:shd w:val="solid" w:color="FFFFFF" w:fill="FFFFFF"/>
                <w:lang w:eastAsia="en-US"/>
              </w:rPr>
              <w:t xml:space="preserve"> в електронній системі </w:t>
            </w:r>
            <w:proofErr w:type="spellStart"/>
            <w:r w:rsidRPr="00502064">
              <w:rPr>
                <w:color w:val="000000"/>
                <w:sz w:val="22"/>
                <w:szCs w:val="22"/>
                <w:shd w:val="solid" w:color="FFFFFF" w:fill="FFFFFF"/>
                <w:lang w:eastAsia="en-US"/>
              </w:rPr>
              <w:t>закупівель</w:t>
            </w:r>
            <w:proofErr w:type="spellEnd"/>
            <w:r w:rsidRPr="00502064">
              <w:rPr>
                <w:color w:val="000000"/>
                <w:sz w:val="22"/>
                <w:szCs w:val="22"/>
                <w:shd w:val="solid" w:color="FFFFFF" w:fill="FFFFFF"/>
                <w:lang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rsidR="005E43AD" w:rsidRDefault="005E43AD" w:rsidP="0042197F">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4F1861">
              <w:fldChar w:fldCharType="begin"/>
            </w:r>
            <w:r w:rsidR="004F1861">
              <w:instrText xml:space="preserve"> HYPERLINK "https://zakon.rada.gov.ua/laws/show/1178-2022-%D0%BF" \l "n326" </w:instrText>
            </w:r>
            <w:r w:rsidR="004F1861">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4F1861">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004F1861">
              <w:fldChar w:fldCharType="begin"/>
            </w:r>
            <w:r w:rsidR="004F1861">
              <w:instrText xml:space="preserve"> HYPERLINK "https://zakon.rada.gov.ua/laws/show/1178-2022-%D0%BF" \l "n318" </w:instrText>
            </w:r>
            <w:r w:rsidR="004F1861">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004F1861">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5"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6"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 xml:space="preserve">“Про затвердження особливостей здійснення публічних </w:t>
            </w:r>
            <w:proofErr w:type="spellStart"/>
            <w:r w:rsidRPr="00E20BA3">
              <w:rPr>
                <w:sz w:val="22"/>
                <w:szCs w:val="22"/>
                <w:shd w:val="solid" w:color="FFFFFF" w:fill="FFFFFF"/>
                <w:lang w:eastAsia="en-US"/>
              </w:rPr>
              <w:t>закупівель</w:t>
            </w:r>
            <w:proofErr w:type="spellEnd"/>
            <w:r w:rsidRPr="00E20BA3">
              <w:rPr>
                <w:sz w:val="22"/>
                <w:szCs w:val="22"/>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7"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8"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29"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004F1861">
              <w:fldChar w:fldCharType="begin"/>
            </w:r>
            <w:r w:rsidR="004F1861">
              <w:instrText xml:space="preserve"> HYPERLINK "https://zakon.rada.gov.ua/laws/show/922-19" \l "n1762" \t "_blank" </w:instrText>
            </w:r>
            <w:r w:rsidR="004F1861">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004F1861">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4F1861">
              <w:fldChar w:fldCharType="begin"/>
            </w:r>
            <w:r w:rsidR="004F1861">
              <w:instrText xml:space="preserve"> HYPERLINK "https://zakon.rada.gov.ua/laws/show/1</w:instrText>
            </w:r>
            <w:r w:rsidR="004F1861">
              <w:instrText xml:space="preserve">178-2022-%D0%BF" \l "n326" </w:instrText>
            </w:r>
            <w:r w:rsidR="004F1861">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4F1861">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 xml:space="preserve">, але до моменту оприлюднення договору про закупівлю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відповідно до</w:t>
            </w:r>
            <w:r w:rsidRPr="000F37FA">
              <w:rPr>
                <w:sz w:val="22"/>
                <w:szCs w:val="22"/>
                <w:lang w:val="ru-RU" w:eastAsia="en-US"/>
              </w:rPr>
              <w:t> </w:t>
            </w:r>
            <w:hyperlink r:id="rId30"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0F37FA">
              <w:rPr>
                <w:sz w:val="22"/>
                <w:szCs w:val="22"/>
                <w:lang w:eastAsia="en-US"/>
              </w:rPr>
              <w:t>закупівель</w:t>
            </w:r>
            <w:proofErr w:type="spellEnd"/>
            <w:r w:rsidRPr="000F37FA">
              <w:rPr>
                <w:sz w:val="22"/>
                <w:szCs w:val="22"/>
                <w:lang w:eastAsia="en-US"/>
              </w:rPr>
              <w:t>,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 xml:space="preserve">Відкриті торги автоматично відміняються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 xml:space="preserve">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 xml:space="preserve">оприлюднення в електронній системі </w:t>
            </w:r>
            <w:proofErr w:type="spellStart"/>
            <w:r w:rsidRPr="000F37FA">
              <w:rPr>
                <w:shd w:val="clear" w:color="auto" w:fill="FFFFFF"/>
              </w:rPr>
              <w:t>закупівель</w:t>
            </w:r>
            <w:proofErr w:type="spellEnd"/>
            <w:r w:rsidRPr="000F37FA">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863D8B" w:rsidRPr="00863D8B" w:rsidTr="00863D8B">
        <w:trPr>
          <w:trHeight w:val="20"/>
          <w:jc w:val="center"/>
        </w:trPr>
        <w:tc>
          <w:tcPr>
            <w:tcW w:w="561" w:type="dxa"/>
            <w:shd w:val="clear" w:color="auto" w:fill="auto"/>
            <w:vAlign w:val="center"/>
          </w:tcPr>
          <w:p w:rsidR="00863D8B" w:rsidRPr="00863D8B" w:rsidRDefault="00863D8B" w:rsidP="00863D8B">
            <w:pPr>
              <w:jc w:val="center"/>
              <w:rPr>
                <w:b/>
                <w:bCs/>
                <w:sz w:val="18"/>
                <w:szCs w:val="18"/>
                <w:lang w:eastAsia="en-US"/>
              </w:rPr>
            </w:pPr>
            <w:r w:rsidRPr="00863D8B">
              <w:rPr>
                <w:b/>
                <w:bCs/>
                <w:sz w:val="18"/>
                <w:szCs w:val="18"/>
                <w:lang w:eastAsia="en-US"/>
              </w:rPr>
              <w:t>№ п/п</w:t>
            </w:r>
          </w:p>
        </w:tc>
        <w:tc>
          <w:tcPr>
            <w:tcW w:w="1478" w:type="dxa"/>
            <w:shd w:val="clear" w:color="auto" w:fill="auto"/>
            <w:vAlign w:val="center"/>
          </w:tcPr>
          <w:p w:rsidR="00863D8B" w:rsidRPr="00863D8B" w:rsidRDefault="00863D8B" w:rsidP="00863D8B">
            <w:pPr>
              <w:jc w:val="center"/>
              <w:rPr>
                <w:b/>
                <w:bCs/>
                <w:sz w:val="18"/>
                <w:szCs w:val="18"/>
                <w:lang w:eastAsia="en-US"/>
              </w:rPr>
            </w:pPr>
            <w:r w:rsidRPr="00863D8B">
              <w:rPr>
                <w:b/>
                <w:bCs/>
                <w:sz w:val="18"/>
                <w:szCs w:val="18"/>
                <w:lang w:eastAsia="en-US"/>
              </w:rPr>
              <w:t>Тип документа</w:t>
            </w:r>
          </w:p>
        </w:tc>
        <w:tc>
          <w:tcPr>
            <w:tcW w:w="7013" w:type="dxa"/>
            <w:shd w:val="clear" w:color="auto" w:fill="auto"/>
            <w:vAlign w:val="center"/>
          </w:tcPr>
          <w:p w:rsidR="00863D8B" w:rsidRPr="00863D8B" w:rsidRDefault="00863D8B" w:rsidP="00863D8B">
            <w:pPr>
              <w:jc w:val="center"/>
              <w:rPr>
                <w:lang w:eastAsia="en-US"/>
              </w:rPr>
            </w:pPr>
            <w:r w:rsidRPr="00863D8B">
              <w:rPr>
                <w:b/>
                <w:bCs/>
                <w:sz w:val="18"/>
                <w:szCs w:val="18"/>
                <w:lang w:eastAsia="en-US"/>
              </w:rPr>
              <w:t>Вид документа</w:t>
            </w:r>
          </w:p>
        </w:tc>
        <w:tc>
          <w:tcPr>
            <w:tcW w:w="1291" w:type="dxa"/>
            <w:shd w:val="clear" w:color="auto" w:fill="auto"/>
            <w:vAlign w:val="center"/>
          </w:tcPr>
          <w:p w:rsidR="00863D8B" w:rsidRPr="00863D8B" w:rsidRDefault="00863D8B" w:rsidP="00863D8B">
            <w:pPr>
              <w:jc w:val="center"/>
              <w:rPr>
                <w:lang w:eastAsia="en-US"/>
              </w:rPr>
            </w:pPr>
            <w:r w:rsidRPr="00863D8B">
              <w:rPr>
                <w:b/>
                <w:bCs/>
                <w:sz w:val="18"/>
                <w:szCs w:val="18"/>
                <w:lang w:eastAsia="en-US"/>
              </w:rPr>
              <w:t>Необхідність надання</w:t>
            </w:r>
          </w:p>
        </w:tc>
      </w:tr>
      <w:tr w:rsidR="00863D8B" w:rsidRPr="00863D8B" w:rsidTr="00863D8B">
        <w:trPr>
          <w:trHeight w:val="795"/>
          <w:jc w:val="center"/>
        </w:trPr>
        <w:tc>
          <w:tcPr>
            <w:tcW w:w="561" w:type="dxa"/>
            <w:shd w:val="clear" w:color="auto" w:fill="auto"/>
            <w:vAlign w:val="center"/>
          </w:tcPr>
          <w:p w:rsidR="00863D8B" w:rsidRPr="00863D8B" w:rsidRDefault="00863D8B" w:rsidP="00863D8B">
            <w:pPr>
              <w:jc w:val="center"/>
              <w:rPr>
                <w:b/>
                <w:bCs/>
                <w:sz w:val="20"/>
                <w:szCs w:val="20"/>
                <w:lang w:eastAsia="en-US"/>
              </w:rPr>
            </w:pPr>
            <w:r w:rsidRPr="00863D8B">
              <w:rPr>
                <w:sz w:val="20"/>
                <w:szCs w:val="20"/>
                <w:lang w:eastAsia="en-US"/>
              </w:rPr>
              <w:t>1</w:t>
            </w:r>
          </w:p>
        </w:tc>
        <w:tc>
          <w:tcPr>
            <w:tcW w:w="1478" w:type="dxa"/>
            <w:shd w:val="clear" w:color="auto" w:fill="auto"/>
            <w:vAlign w:val="center"/>
          </w:tcPr>
          <w:p w:rsidR="00863D8B" w:rsidRPr="00863D8B" w:rsidRDefault="00863D8B" w:rsidP="00863D8B">
            <w:pPr>
              <w:jc w:val="center"/>
              <w:rPr>
                <w:bCs/>
                <w:sz w:val="20"/>
                <w:szCs w:val="18"/>
                <w:lang w:eastAsia="en-US"/>
              </w:rPr>
            </w:pPr>
            <w:r w:rsidRPr="00863D8B">
              <w:rPr>
                <w:b/>
                <w:bCs/>
                <w:sz w:val="20"/>
                <w:szCs w:val="18"/>
                <w:lang w:eastAsia="en-US"/>
              </w:rPr>
              <w:t>Підтвердження якості продукції</w:t>
            </w:r>
          </w:p>
        </w:tc>
        <w:tc>
          <w:tcPr>
            <w:tcW w:w="7013" w:type="dxa"/>
            <w:shd w:val="clear" w:color="auto" w:fill="auto"/>
            <w:vAlign w:val="center"/>
          </w:tcPr>
          <w:p w:rsidR="00863D8B" w:rsidRPr="00863D8B" w:rsidRDefault="00863D8B" w:rsidP="00863D8B">
            <w:pPr>
              <w:jc w:val="both"/>
              <w:rPr>
                <w:sz w:val="20"/>
                <w:lang w:eastAsia="en-US"/>
              </w:rPr>
            </w:pPr>
            <w:r w:rsidRPr="00863D8B">
              <w:rPr>
                <w:bCs/>
                <w:sz w:val="20"/>
                <w:szCs w:val="18"/>
                <w:lang w:eastAsia="en-U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863D8B" w:rsidRPr="00863D8B" w:rsidRDefault="00863D8B" w:rsidP="00863D8B">
            <w:pPr>
              <w:jc w:val="center"/>
              <w:rPr>
                <w:sz w:val="22"/>
                <w:szCs w:val="22"/>
                <w:highlight w:val="red"/>
                <w:lang w:val="en-US" w:eastAsia="en-US"/>
              </w:rPr>
            </w:pPr>
            <w:r w:rsidRPr="00863D8B">
              <w:rPr>
                <w:sz w:val="22"/>
                <w:szCs w:val="22"/>
                <w:lang w:eastAsia="en-US"/>
              </w:rPr>
              <w:t>ТАК</w:t>
            </w:r>
          </w:p>
        </w:tc>
      </w:tr>
    </w:tbl>
    <w:p w:rsidR="00863D8B" w:rsidRPr="00863D8B" w:rsidRDefault="00863D8B" w:rsidP="00863D8B">
      <w:pPr>
        <w:spacing w:after="160" w:line="259" w:lineRule="auto"/>
        <w:rPr>
          <w:rFonts w:ascii="Calibri" w:eastAsia="Calibri" w:hAnsi="Calibri"/>
          <w:sz w:val="22"/>
          <w:szCs w:val="22"/>
          <w:lang w:eastAsia="en-US"/>
        </w:rPr>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w:t>
      </w:r>
      <w:r w:rsidR="00262D3D" w:rsidRPr="00C02C0D">
        <w:rPr>
          <w:shd w:val="clear" w:color="auto" w:fill="FFFFFF"/>
        </w:rPr>
        <w:lastRenderedPageBreak/>
        <w:t>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C0D">
        <w:rPr>
          <w:lang w:eastAsia="ru-RU"/>
        </w:rPr>
        <w:t>закупівель</w:t>
      </w:r>
      <w:proofErr w:type="spellEnd"/>
      <w:r w:rsidRPr="00C02C0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7C4A1D" w:rsidRDefault="00890123" w:rsidP="00F9096D">
      <w:pPr>
        <w:pStyle w:val="affff2"/>
        <w:rPr>
          <w:sz w:val="24"/>
          <w:szCs w:val="24"/>
        </w:rPr>
      </w:pPr>
      <w:r>
        <w:br w:type="page"/>
      </w:r>
    </w:p>
    <w:p w:rsidR="005E43AD" w:rsidRDefault="005E43AD" w:rsidP="00F9096D">
      <w:pPr>
        <w:spacing w:before="150" w:after="150"/>
      </w:pP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FB4F6B">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FB4F6B">
              <w:rPr>
                <w:b/>
                <w:bCs/>
                <w:i/>
              </w:rPr>
              <w:t>24310000</w:t>
            </w:r>
            <w:r w:rsidR="00333EF7" w:rsidRPr="00333EF7">
              <w:rPr>
                <w:b/>
                <w:bCs/>
                <w:i/>
              </w:rPr>
              <w:t>-</w:t>
            </w:r>
            <w:r w:rsidR="00FB4F6B">
              <w:rPr>
                <w:b/>
                <w:bCs/>
                <w:i/>
              </w:rPr>
              <w:t>0</w:t>
            </w:r>
            <w:r w:rsidR="00415AA5" w:rsidRPr="00333EF7">
              <w:rPr>
                <w:b/>
                <w:bCs/>
                <w:i/>
              </w:rPr>
              <w:t xml:space="preserve">– </w:t>
            </w:r>
            <w:r w:rsidR="00FB4F6B">
              <w:rPr>
                <w:b/>
                <w:bCs/>
                <w:i/>
              </w:rPr>
              <w:t>Основні неорганічні  хімічні речовини</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1"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2"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color w:val="000000"/>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Pr>
                <w:color w:val="000000"/>
              </w:rPr>
              <w:lastRenderedPageBreak/>
              <w:t>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 xml:space="preserve">від 12.10.2022 року «ОСОБЛИВОСТІ здійснення публічних </w:t>
      </w:r>
      <w:proofErr w:type="spellStart"/>
      <w:r w:rsidR="006C030C">
        <w:t>закупівель</w:t>
      </w:r>
      <w:proofErr w:type="spellEnd"/>
      <w:r w:rsidR="006C03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2E1AFA" w:rsidRDefault="002E1AFA"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8D12C8" w:rsidRPr="008D12C8" w:rsidRDefault="008D12C8" w:rsidP="008D12C8">
      <w:pPr>
        <w:shd w:val="clear" w:color="auto" w:fill="FFFFFF"/>
        <w:jc w:val="center"/>
        <w:rPr>
          <w:b/>
        </w:rPr>
      </w:pPr>
      <w:r w:rsidRPr="008D12C8">
        <w:rPr>
          <w:b/>
        </w:rPr>
        <w:t>ТЕХНІЧНА СПЕЦИФІКАЦІЯ*</w:t>
      </w:r>
    </w:p>
    <w:p w:rsidR="008D12C8" w:rsidRPr="008D12C8" w:rsidRDefault="008D12C8" w:rsidP="008D12C8">
      <w:pPr>
        <w:shd w:val="clear" w:color="auto" w:fill="FFFFFF"/>
        <w:jc w:val="center"/>
        <w:rPr>
          <w:b/>
        </w:rPr>
      </w:pPr>
    </w:p>
    <w:p w:rsidR="008D12C8" w:rsidRPr="008D12C8" w:rsidRDefault="008D12C8" w:rsidP="008D12C8">
      <w:pPr>
        <w:shd w:val="clear" w:color="auto" w:fill="FFFFFF"/>
        <w:rPr>
          <w:b/>
        </w:rPr>
      </w:pPr>
      <w:r w:rsidRPr="008D12C8">
        <w:rPr>
          <w:b/>
        </w:rPr>
        <w:t>1. Інформація про технічні, якісні та кількісні характеристики предмета закупівлі.</w:t>
      </w:r>
    </w:p>
    <w:p w:rsidR="008D12C8" w:rsidRPr="008D12C8" w:rsidRDefault="008D12C8" w:rsidP="008D12C8">
      <w:pPr>
        <w:shd w:val="clear" w:color="auto" w:fill="FFFFFF"/>
        <w:rPr>
          <w:b/>
        </w:rPr>
      </w:pPr>
    </w:p>
    <w:tbl>
      <w:tblPr>
        <w:tblStyle w:val="2f3"/>
        <w:tblW w:w="0" w:type="auto"/>
        <w:tblLook w:val="04A0" w:firstRow="1" w:lastRow="0" w:firstColumn="1" w:lastColumn="0" w:noHBand="0" w:noVBand="1"/>
      </w:tblPr>
      <w:tblGrid>
        <w:gridCol w:w="551"/>
        <w:gridCol w:w="2279"/>
        <w:gridCol w:w="851"/>
        <w:gridCol w:w="850"/>
        <w:gridCol w:w="3544"/>
        <w:gridCol w:w="2201"/>
      </w:tblGrid>
      <w:tr w:rsidR="008D12C8" w:rsidRPr="008D12C8" w:rsidTr="008D12C8">
        <w:trPr>
          <w:trHeight w:val="433"/>
        </w:trPr>
        <w:tc>
          <w:tcPr>
            <w:tcW w:w="551"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r w:rsidRPr="008D12C8">
              <w:rPr>
                <w:rFonts w:eastAsia="Calibri"/>
                <w:b/>
                <w:sz w:val="22"/>
                <w:szCs w:val="22"/>
                <w:lang w:val="ru-RU" w:eastAsia="en-US"/>
              </w:rPr>
              <w:t>№</w:t>
            </w:r>
          </w:p>
          <w:p w:rsidR="008D12C8" w:rsidRPr="008D12C8" w:rsidRDefault="008D12C8" w:rsidP="008D12C8">
            <w:pPr>
              <w:spacing w:after="160" w:line="256" w:lineRule="auto"/>
              <w:jc w:val="center"/>
              <w:rPr>
                <w:rFonts w:eastAsia="Calibri"/>
                <w:b/>
                <w:sz w:val="22"/>
                <w:szCs w:val="22"/>
                <w:lang w:val="ru-RU" w:eastAsia="en-US"/>
              </w:rPr>
            </w:pPr>
            <w:r w:rsidRPr="008D12C8">
              <w:rPr>
                <w:rFonts w:eastAsia="Calibri"/>
                <w:b/>
                <w:sz w:val="22"/>
                <w:szCs w:val="22"/>
                <w:lang w:val="ru-RU" w:eastAsia="en-US"/>
              </w:rPr>
              <w:t>з/</w:t>
            </w:r>
            <w:proofErr w:type="gramStart"/>
            <w:r w:rsidRPr="008D12C8">
              <w:rPr>
                <w:rFonts w:eastAsia="Calibri"/>
                <w:b/>
                <w:sz w:val="22"/>
                <w:szCs w:val="22"/>
                <w:lang w:val="ru-RU" w:eastAsia="en-US"/>
              </w:rPr>
              <w:t>п</w:t>
            </w:r>
            <w:proofErr w:type="gramEnd"/>
          </w:p>
        </w:tc>
        <w:tc>
          <w:tcPr>
            <w:tcW w:w="2279"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proofErr w:type="spellStart"/>
            <w:r w:rsidRPr="008D12C8">
              <w:rPr>
                <w:rFonts w:eastAsia="Calibri"/>
                <w:b/>
                <w:sz w:val="22"/>
                <w:szCs w:val="22"/>
                <w:lang w:val="ru-RU"/>
              </w:rPr>
              <w:t>Найменування</w:t>
            </w:r>
            <w:proofErr w:type="spellEnd"/>
            <w:r w:rsidRPr="008D12C8">
              <w:rPr>
                <w:rFonts w:eastAsia="Calibri"/>
                <w:b/>
                <w:sz w:val="22"/>
                <w:szCs w:val="22"/>
                <w:lang w:val="ru-RU"/>
              </w:rPr>
              <w:t xml:space="preserve"> товару (</w:t>
            </w:r>
            <w:proofErr w:type="spellStart"/>
            <w:r w:rsidRPr="008D12C8">
              <w:rPr>
                <w:rFonts w:eastAsia="Calibri"/>
                <w:b/>
                <w:sz w:val="22"/>
                <w:szCs w:val="22"/>
                <w:lang w:val="ru-RU" w:eastAsia="en-US"/>
              </w:rPr>
              <w:t>робіт</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послуг</w:t>
            </w:r>
            <w:proofErr w:type="spellEnd"/>
            <w:r w:rsidRPr="008D12C8">
              <w:rPr>
                <w:rFonts w:eastAsia="Calibri"/>
                <w:b/>
                <w:sz w:val="22"/>
                <w:szCs w:val="22"/>
                <w:lang w:val="ru-RU"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r w:rsidRPr="008D12C8">
              <w:rPr>
                <w:rFonts w:eastAsia="Calibri"/>
                <w:b/>
                <w:sz w:val="22"/>
                <w:szCs w:val="22"/>
                <w:lang w:val="ru-RU" w:eastAsia="en-US"/>
              </w:rPr>
              <w:t>Од</w:t>
            </w:r>
            <w:proofErr w:type="gramStart"/>
            <w:r w:rsidRPr="008D12C8">
              <w:rPr>
                <w:rFonts w:eastAsia="Calibri"/>
                <w:b/>
                <w:sz w:val="22"/>
                <w:szCs w:val="22"/>
                <w:lang w:val="ru-RU" w:eastAsia="en-US"/>
              </w:rPr>
              <w:t>.</w:t>
            </w:r>
            <w:proofErr w:type="gramEnd"/>
            <w:r w:rsidRPr="008D12C8">
              <w:rPr>
                <w:rFonts w:eastAsia="Calibri"/>
                <w:b/>
                <w:sz w:val="22"/>
                <w:szCs w:val="22"/>
                <w:lang w:val="ru-RU" w:eastAsia="en-US"/>
              </w:rPr>
              <w:t xml:space="preserve"> </w:t>
            </w:r>
            <w:proofErr w:type="spellStart"/>
            <w:proofErr w:type="gramStart"/>
            <w:r w:rsidRPr="008D12C8">
              <w:rPr>
                <w:rFonts w:eastAsia="Calibri"/>
                <w:b/>
                <w:sz w:val="22"/>
                <w:szCs w:val="22"/>
                <w:lang w:val="ru-RU" w:eastAsia="en-US"/>
              </w:rPr>
              <w:t>в</w:t>
            </w:r>
            <w:proofErr w:type="gramEnd"/>
            <w:r w:rsidRPr="008D12C8">
              <w:rPr>
                <w:rFonts w:eastAsia="Calibri"/>
                <w:b/>
                <w:sz w:val="22"/>
                <w:szCs w:val="22"/>
                <w:lang w:val="ru-RU" w:eastAsia="en-US"/>
              </w:rPr>
              <w:t>им</w:t>
            </w:r>
            <w:proofErr w:type="spellEnd"/>
            <w:r w:rsidRPr="008D12C8">
              <w:rPr>
                <w:rFonts w:eastAsia="Calibri"/>
                <w:b/>
                <w:sz w:val="22"/>
                <w:szCs w:val="22"/>
                <w:lang w:val="ru-RU" w:eastAsia="en-US"/>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r w:rsidRPr="008D12C8">
              <w:rPr>
                <w:rFonts w:eastAsia="Calibri"/>
                <w:b/>
                <w:sz w:val="22"/>
                <w:szCs w:val="22"/>
                <w:lang w:val="ru-RU" w:eastAsia="en-US"/>
              </w:rPr>
              <w:t>К-</w:t>
            </w:r>
            <w:proofErr w:type="spellStart"/>
            <w:r w:rsidRPr="008D12C8">
              <w:rPr>
                <w:rFonts w:eastAsia="Calibri"/>
                <w:b/>
                <w:sz w:val="22"/>
                <w:szCs w:val="22"/>
                <w:lang w:val="ru-RU" w:eastAsia="en-US"/>
              </w:rPr>
              <w:t>сть</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proofErr w:type="spellStart"/>
            <w:proofErr w:type="gramStart"/>
            <w:r w:rsidRPr="008D12C8">
              <w:rPr>
                <w:rFonts w:eastAsia="Calibri"/>
                <w:b/>
                <w:sz w:val="22"/>
                <w:szCs w:val="22"/>
                <w:lang w:val="ru-RU" w:eastAsia="en-US"/>
              </w:rPr>
              <w:t>Техн</w:t>
            </w:r>
            <w:proofErr w:type="gramEnd"/>
            <w:r w:rsidRPr="008D12C8">
              <w:rPr>
                <w:rFonts w:eastAsia="Calibri"/>
                <w:b/>
                <w:sz w:val="22"/>
                <w:szCs w:val="22"/>
                <w:lang w:val="ru-RU" w:eastAsia="en-US"/>
              </w:rPr>
              <w:t>ічні</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вимоги</w:t>
            </w:r>
            <w:proofErr w:type="spellEnd"/>
            <w:r w:rsidRPr="008D12C8">
              <w:rPr>
                <w:rFonts w:eastAsia="Calibri"/>
                <w:b/>
                <w:sz w:val="22"/>
                <w:szCs w:val="22"/>
                <w:lang w:val="ru-RU" w:eastAsia="en-US"/>
              </w:rPr>
              <w:t xml:space="preserve"> та характеристики </w:t>
            </w:r>
            <w:proofErr w:type="spellStart"/>
            <w:r w:rsidRPr="008D12C8">
              <w:rPr>
                <w:rFonts w:eastAsia="Calibri"/>
                <w:b/>
                <w:sz w:val="22"/>
                <w:szCs w:val="22"/>
                <w:lang w:val="ru-RU" w:eastAsia="en-US"/>
              </w:rPr>
              <w:t>продукції</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товарів</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робіт</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послуг</w:t>
            </w:r>
            <w:proofErr w:type="spellEnd"/>
            <w:r w:rsidRPr="008D12C8">
              <w:rPr>
                <w:rFonts w:eastAsia="Calibri"/>
                <w:b/>
                <w:sz w:val="22"/>
                <w:szCs w:val="22"/>
                <w:lang w:val="ru-RU" w:eastAsia="en-US"/>
              </w:rPr>
              <w:t>)</w:t>
            </w:r>
          </w:p>
        </w:tc>
        <w:tc>
          <w:tcPr>
            <w:tcW w:w="2201" w:type="dxa"/>
            <w:vMerge w:val="restart"/>
            <w:tcBorders>
              <w:top w:val="single" w:sz="4" w:space="0" w:color="auto"/>
              <w:left w:val="single" w:sz="4" w:space="0" w:color="auto"/>
              <w:bottom w:val="single" w:sz="4" w:space="0" w:color="auto"/>
              <w:right w:val="single" w:sz="4" w:space="0" w:color="auto"/>
            </w:tcBorders>
            <w:hideMark/>
          </w:tcPr>
          <w:p w:rsidR="008D12C8" w:rsidRPr="008D12C8" w:rsidRDefault="008D12C8" w:rsidP="008D12C8">
            <w:pPr>
              <w:spacing w:after="160" w:line="256" w:lineRule="auto"/>
              <w:jc w:val="center"/>
              <w:rPr>
                <w:rFonts w:eastAsia="Calibri"/>
                <w:b/>
                <w:sz w:val="22"/>
                <w:szCs w:val="22"/>
                <w:lang w:val="ru-RU" w:eastAsia="en-US"/>
              </w:rPr>
            </w:pPr>
            <w:proofErr w:type="spellStart"/>
            <w:r w:rsidRPr="008D12C8">
              <w:rPr>
                <w:rFonts w:eastAsia="Calibri"/>
                <w:b/>
                <w:sz w:val="22"/>
                <w:szCs w:val="22"/>
                <w:lang w:val="ru-RU" w:eastAsia="en-US"/>
              </w:rPr>
              <w:t>Позначення</w:t>
            </w:r>
            <w:proofErr w:type="spellEnd"/>
            <w:r w:rsidRPr="008D12C8">
              <w:rPr>
                <w:rFonts w:eastAsia="Calibri"/>
                <w:b/>
                <w:sz w:val="22"/>
                <w:szCs w:val="22"/>
                <w:lang w:val="ru-RU" w:eastAsia="en-US"/>
              </w:rPr>
              <w:t xml:space="preserve"> НТД, </w:t>
            </w:r>
            <w:proofErr w:type="spellStart"/>
            <w:r w:rsidRPr="008D12C8">
              <w:rPr>
                <w:rFonts w:eastAsia="Calibri"/>
                <w:b/>
                <w:sz w:val="22"/>
                <w:szCs w:val="22"/>
                <w:lang w:val="ru-RU" w:eastAsia="en-US"/>
              </w:rPr>
              <w:t>якій</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відповідає</w:t>
            </w:r>
            <w:proofErr w:type="spellEnd"/>
            <w:r w:rsidRPr="008D12C8">
              <w:rPr>
                <w:rFonts w:eastAsia="Calibri"/>
                <w:b/>
                <w:sz w:val="22"/>
                <w:szCs w:val="22"/>
                <w:lang w:val="ru-RU" w:eastAsia="en-US"/>
              </w:rPr>
              <w:t xml:space="preserve"> </w:t>
            </w:r>
            <w:proofErr w:type="spellStart"/>
            <w:r w:rsidRPr="008D12C8">
              <w:rPr>
                <w:rFonts w:eastAsia="Calibri"/>
                <w:b/>
                <w:sz w:val="22"/>
                <w:szCs w:val="22"/>
                <w:lang w:val="ru-RU" w:eastAsia="en-US"/>
              </w:rPr>
              <w:t>продукція</w:t>
            </w:r>
            <w:proofErr w:type="spellEnd"/>
            <w:r w:rsidRPr="008D12C8">
              <w:rPr>
                <w:rFonts w:eastAsia="Calibri"/>
                <w:b/>
                <w:sz w:val="22"/>
                <w:szCs w:val="22"/>
                <w:lang w:val="ru-RU" w:eastAsia="en-US"/>
              </w:rPr>
              <w:t xml:space="preserve"> (за </w:t>
            </w:r>
            <w:proofErr w:type="spellStart"/>
            <w:r w:rsidRPr="008D12C8">
              <w:rPr>
                <w:rFonts w:eastAsia="Calibri"/>
                <w:b/>
                <w:sz w:val="22"/>
                <w:szCs w:val="22"/>
                <w:lang w:val="ru-RU" w:eastAsia="en-US"/>
              </w:rPr>
              <w:t>інструкції</w:t>
            </w:r>
            <w:proofErr w:type="spellEnd"/>
            <w:r w:rsidRPr="008D12C8">
              <w:rPr>
                <w:rFonts w:eastAsia="Calibri"/>
                <w:b/>
                <w:sz w:val="22"/>
                <w:szCs w:val="22"/>
                <w:lang w:val="ru-RU" w:eastAsia="en-US"/>
              </w:rPr>
              <w:t>)*</w:t>
            </w:r>
          </w:p>
        </w:tc>
      </w:tr>
      <w:tr w:rsidR="008D12C8" w:rsidRPr="008D12C8" w:rsidTr="008D12C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2C8" w:rsidRPr="008D12C8" w:rsidRDefault="008D12C8" w:rsidP="008D12C8">
            <w:pPr>
              <w:rPr>
                <w:rFonts w:eastAsia="Calibri"/>
                <w:b/>
                <w:sz w:val="22"/>
                <w:szCs w:val="22"/>
                <w:lang w:val="ru-RU" w:eastAsia="en-US"/>
              </w:rPr>
            </w:pPr>
          </w:p>
        </w:tc>
      </w:tr>
      <w:tr w:rsidR="008D12C8" w:rsidRPr="008D12C8" w:rsidTr="008D12C8">
        <w:tc>
          <w:tcPr>
            <w:tcW w:w="551" w:type="dxa"/>
            <w:tcBorders>
              <w:top w:val="single" w:sz="4" w:space="0" w:color="000000"/>
              <w:left w:val="single" w:sz="4" w:space="0" w:color="000000"/>
              <w:bottom w:val="single" w:sz="4" w:space="0" w:color="000000"/>
              <w:right w:val="single" w:sz="4" w:space="0" w:color="000000"/>
            </w:tcBorders>
            <w:vAlign w:val="center"/>
            <w:hideMark/>
          </w:tcPr>
          <w:p w:rsidR="008D12C8" w:rsidRPr="008D12C8" w:rsidRDefault="008D12C8" w:rsidP="008D12C8">
            <w:pPr>
              <w:spacing w:after="160" w:line="256" w:lineRule="auto"/>
              <w:jc w:val="center"/>
              <w:rPr>
                <w:rFonts w:eastAsia="Calibri"/>
                <w:i/>
                <w:sz w:val="22"/>
                <w:szCs w:val="22"/>
                <w:lang w:val="ru-RU" w:eastAsia="en-US"/>
              </w:rPr>
            </w:pPr>
            <w:r w:rsidRPr="008D12C8">
              <w:rPr>
                <w:rFonts w:eastAsia="Calibri"/>
                <w:i/>
                <w:color w:val="000000"/>
                <w:sz w:val="22"/>
                <w:szCs w:val="22"/>
                <w:lang w:val="ru-RU" w:eastAsia="en-US"/>
              </w:rPr>
              <w:t>1</w:t>
            </w:r>
          </w:p>
        </w:tc>
        <w:tc>
          <w:tcPr>
            <w:tcW w:w="2279" w:type="dxa"/>
            <w:tcBorders>
              <w:top w:val="single" w:sz="4" w:space="0" w:color="auto"/>
              <w:left w:val="nil"/>
              <w:bottom w:val="single" w:sz="4" w:space="0" w:color="auto"/>
              <w:right w:val="single" w:sz="4" w:space="0" w:color="auto"/>
            </w:tcBorders>
            <w:shd w:val="clear" w:color="auto" w:fill="FFFFFF"/>
            <w:vAlign w:val="center"/>
            <w:hideMark/>
          </w:tcPr>
          <w:p w:rsidR="008D12C8" w:rsidRPr="008D12C8" w:rsidRDefault="008D12C8" w:rsidP="008D12C8">
            <w:pPr>
              <w:spacing w:after="160" w:line="256" w:lineRule="auto"/>
              <w:jc w:val="center"/>
              <w:rPr>
                <w:rFonts w:eastAsia="Calibri"/>
                <w:i/>
                <w:sz w:val="22"/>
                <w:szCs w:val="22"/>
                <w:lang w:val="ru-RU" w:eastAsia="en-US"/>
              </w:rPr>
            </w:pPr>
            <w:r w:rsidRPr="008D12C8">
              <w:rPr>
                <w:rFonts w:eastAsia="Calibri"/>
                <w:i/>
                <w:sz w:val="22"/>
                <w:szCs w:val="22"/>
                <w:lang w:val="ru-RU" w:eastAsia="en-US"/>
              </w:rPr>
              <w:t xml:space="preserve">Сода  </w:t>
            </w:r>
            <w:proofErr w:type="spellStart"/>
            <w:r w:rsidRPr="008D12C8">
              <w:rPr>
                <w:rFonts w:eastAsia="Calibri"/>
                <w:i/>
                <w:sz w:val="22"/>
                <w:szCs w:val="22"/>
                <w:lang w:val="ru-RU" w:eastAsia="en-US"/>
              </w:rPr>
              <w:t>кальцинована</w:t>
            </w:r>
            <w:proofErr w:type="spellEnd"/>
            <w:r w:rsidRPr="008D12C8">
              <w:rPr>
                <w:rFonts w:eastAsia="Calibri"/>
                <w:i/>
                <w:sz w:val="22"/>
                <w:szCs w:val="22"/>
                <w:lang w:val="ru-RU" w:eastAsia="en-US"/>
              </w:rPr>
              <w:t xml:space="preserve"> марки Б</w:t>
            </w:r>
            <w:proofErr w:type="gramStart"/>
            <w:r w:rsidRPr="008D12C8">
              <w:rPr>
                <w:rFonts w:eastAsia="Calibri"/>
                <w:i/>
                <w:sz w:val="22"/>
                <w:szCs w:val="22"/>
                <w:lang w:val="ru-RU" w:eastAsia="en-US"/>
              </w:rPr>
              <w:t xml:space="preserve"> ,</w:t>
            </w:r>
            <w:proofErr w:type="spellStart"/>
            <w:proofErr w:type="gramEnd"/>
            <w:r w:rsidRPr="008D12C8">
              <w:rPr>
                <w:rFonts w:eastAsia="Calibri"/>
                <w:i/>
                <w:sz w:val="22"/>
                <w:szCs w:val="22"/>
                <w:lang w:val="ru-RU" w:eastAsia="en-US"/>
              </w:rPr>
              <w:t>технічна</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фасування</w:t>
            </w:r>
            <w:proofErr w:type="spellEnd"/>
            <w:r w:rsidRPr="008D12C8">
              <w:rPr>
                <w:rFonts w:eastAsia="Calibri"/>
                <w:i/>
                <w:sz w:val="22"/>
                <w:szCs w:val="22"/>
                <w:lang w:val="ru-RU" w:eastAsia="en-US"/>
              </w:rPr>
              <w:t xml:space="preserve">  25, 50,100 кг)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D12C8" w:rsidRPr="008D12C8" w:rsidRDefault="008D12C8" w:rsidP="008D12C8">
            <w:pPr>
              <w:spacing w:after="160" w:line="256" w:lineRule="auto"/>
              <w:jc w:val="center"/>
              <w:rPr>
                <w:rFonts w:eastAsia="Calibri"/>
                <w:i/>
                <w:sz w:val="22"/>
                <w:szCs w:val="22"/>
                <w:vertAlign w:val="superscript"/>
                <w:lang w:val="ru-RU" w:eastAsia="en-US"/>
              </w:rPr>
            </w:pPr>
            <w:r w:rsidRPr="008D12C8">
              <w:rPr>
                <w:rFonts w:eastAsia="Calibri"/>
                <w:i/>
                <w:color w:val="000000"/>
                <w:sz w:val="22"/>
                <w:szCs w:val="22"/>
                <w:lang w:val="ru-RU" w:eastAsia="en-US"/>
              </w:rPr>
              <w:t>кг</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D12C8" w:rsidRPr="008D12C8" w:rsidRDefault="008D12C8" w:rsidP="008D12C8">
            <w:pPr>
              <w:spacing w:after="160" w:line="256" w:lineRule="auto"/>
              <w:jc w:val="center"/>
              <w:rPr>
                <w:rFonts w:eastAsia="Calibri"/>
                <w:i/>
                <w:sz w:val="22"/>
                <w:szCs w:val="22"/>
                <w:lang w:val="ru-RU" w:eastAsia="en-US"/>
              </w:rPr>
            </w:pPr>
            <w:r w:rsidRPr="008D12C8">
              <w:rPr>
                <w:rFonts w:eastAsia="Calibri"/>
                <w:i/>
                <w:color w:val="000000"/>
                <w:sz w:val="22"/>
                <w:szCs w:val="22"/>
                <w:lang w:val="ru-RU" w:eastAsia="en-US"/>
              </w:rPr>
              <w:t>1200</w:t>
            </w:r>
          </w:p>
        </w:tc>
        <w:tc>
          <w:tcPr>
            <w:tcW w:w="3544" w:type="dxa"/>
            <w:tcBorders>
              <w:top w:val="single" w:sz="4" w:space="0" w:color="auto"/>
              <w:left w:val="nil"/>
              <w:bottom w:val="single" w:sz="4" w:space="0" w:color="auto"/>
              <w:right w:val="single" w:sz="4" w:space="0" w:color="auto"/>
            </w:tcBorders>
            <w:vAlign w:val="center"/>
            <w:hideMark/>
          </w:tcPr>
          <w:p w:rsidR="008D12C8" w:rsidRPr="008D12C8" w:rsidRDefault="008D12C8" w:rsidP="008D12C8">
            <w:pPr>
              <w:spacing w:after="160" w:line="256" w:lineRule="auto"/>
              <w:jc w:val="center"/>
              <w:rPr>
                <w:rFonts w:eastAsia="Calibri"/>
                <w:i/>
                <w:sz w:val="22"/>
                <w:szCs w:val="22"/>
                <w:lang w:eastAsia="en-US"/>
              </w:rPr>
            </w:pPr>
            <w:proofErr w:type="spellStart"/>
            <w:r w:rsidRPr="008D12C8">
              <w:rPr>
                <w:rFonts w:eastAsia="Calibri"/>
                <w:i/>
                <w:sz w:val="22"/>
                <w:szCs w:val="22"/>
                <w:lang w:val="ru-RU" w:eastAsia="en-US"/>
              </w:rPr>
              <w:t>Зовнішній</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вигляд</w:t>
            </w:r>
            <w:proofErr w:type="spellEnd"/>
            <w:r w:rsidRPr="008D12C8">
              <w:rPr>
                <w:rFonts w:eastAsia="Calibri"/>
                <w:i/>
                <w:sz w:val="22"/>
                <w:szCs w:val="22"/>
                <w:lang w:val="ru-RU" w:eastAsia="en-US"/>
              </w:rPr>
              <w:t xml:space="preserve"> – порошок </w:t>
            </w:r>
            <w:proofErr w:type="spellStart"/>
            <w:r w:rsidRPr="008D12C8">
              <w:rPr>
                <w:rFonts w:eastAsia="Calibri"/>
                <w:i/>
                <w:sz w:val="22"/>
                <w:szCs w:val="22"/>
                <w:lang w:val="ru-RU" w:eastAsia="en-US"/>
              </w:rPr>
              <w:t>білого</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кольору</w:t>
            </w:r>
            <w:proofErr w:type="spellEnd"/>
            <w:r w:rsidRPr="008D12C8">
              <w:rPr>
                <w:rFonts w:eastAsia="Calibri"/>
                <w:i/>
                <w:sz w:val="22"/>
                <w:szCs w:val="22"/>
                <w:lang w:val="ru-RU" w:eastAsia="en-US"/>
              </w:rPr>
              <w:t xml:space="preserve"> ;</w:t>
            </w:r>
            <w:r w:rsidRPr="008D12C8">
              <w:rPr>
                <w:rFonts w:eastAsia="Calibri"/>
                <w:i/>
                <w:sz w:val="22"/>
                <w:szCs w:val="22"/>
                <w:lang w:eastAsia="en-US"/>
              </w:rPr>
              <w:t xml:space="preserve">масова частка вуглекислого натрію                                     ( </w:t>
            </w:r>
            <w:r w:rsidRPr="008D12C8">
              <w:rPr>
                <w:rFonts w:eastAsia="Calibri"/>
                <w:i/>
                <w:sz w:val="22"/>
                <w:szCs w:val="22"/>
                <w:lang w:val="en-US" w:eastAsia="en-US"/>
              </w:rPr>
              <w:t>Na</w:t>
            </w:r>
            <w:r w:rsidRPr="008D12C8">
              <w:rPr>
                <w:rFonts w:eastAsia="Calibri"/>
                <w:i/>
                <w:sz w:val="22"/>
                <w:szCs w:val="22"/>
                <w:lang w:val="ru-RU" w:eastAsia="en-US"/>
              </w:rPr>
              <w:t>2</w:t>
            </w:r>
            <w:r w:rsidRPr="008D12C8">
              <w:rPr>
                <w:rFonts w:eastAsia="Calibri"/>
                <w:i/>
                <w:sz w:val="22"/>
                <w:szCs w:val="22"/>
                <w:lang w:val="en-US" w:eastAsia="en-US"/>
              </w:rPr>
              <w:t>CO</w:t>
            </w:r>
            <w:r w:rsidRPr="008D12C8">
              <w:rPr>
                <w:rFonts w:eastAsia="Calibri"/>
                <w:i/>
                <w:sz w:val="22"/>
                <w:szCs w:val="22"/>
                <w:lang w:val="ru-RU" w:eastAsia="en-US"/>
              </w:rPr>
              <w:t>3)</w:t>
            </w:r>
            <w:r w:rsidRPr="008D12C8">
              <w:rPr>
                <w:rFonts w:eastAsia="Calibri"/>
                <w:i/>
                <w:sz w:val="22"/>
                <w:szCs w:val="22"/>
                <w:lang w:eastAsia="en-US"/>
              </w:rPr>
              <w:t xml:space="preserve"> </w:t>
            </w:r>
            <w:r w:rsidRPr="008D12C8">
              <w:rPr>
                <w:rFonts w:eastAsia="Calibri"/>
                <w:i/>
                <w:sz w:val="22"/>
                <w:szCs w:val="22"/>
                <w:lang w:val="ru-RU" w:eastAsia="en-US"/>
              </w:rPr>
              <w:t>%,</w:t>
            </w:r>
            <w:r w:rsidRPr="008D12C8">
              <w:rPr>
                <w:rFonts w:eastAsia="Calibri"/>
                <w:i/>
                <w:sz w:val="22"/>
                <w:szCs w:val="22"/>
                <w:lang w:eastAsia="en-US"/>
              </w:rPr>
              <w:t>не менше 99,0</w:t>
            </w:r>
            <w:r w:rsidRPr="008D12C8">
              <w:rPr>
                <w:rFonts w:eastAsia="Calibri"/>
                <w:i/>
                <w:sz w:val="22"/>
                <w:szCs w:val="22"/>
                <w:lang w:val="ru-RU" w:eastAsia="en-US"/>
              </w:rPr>
              <w:t>;</w:t>
            </w:r>
            <w:r w:rsidRPr="008D12C8">
              <w:rPr>
                <w:rFonts w:eastAsia="Calibri"/>
                <w:i/>
                <w:sz w:val="22"/>
                <w:szCs w:val="22"/>
                <w:lang w:eastAsia="en-US"/>
              </w:rPr>
              <w:t xml:space="preserve">масова частка вуглекислого натрію           ( </w:t>
            </w:r>
            <w:r w:rsidRPr="008D12C8">
              <w:rPr>
                <w:rFonts w:eastAsia="Calibri"/>
                <w:i/>
                <w:sz w:val="22"/>
                <w:szCs w:val="22"/>
                <w:lang w:val="en-US" w:eastAsia="en-US"/>
              </w:rPr>
              <w:t>Na</w:t>
            </w:r>
            <w:r w:rsidRPr="008D12C8">
              <w:rPr>
                <w:rFonts w:eastAsia="Calibri"/>
                <w:i/>
                <w:sz w:val="22"/>
                <w:szCs w:val="22"/>
                <w:lang w:val="ru-RU" w:eastAsia="en-US"/>
              </w:rPr>
              <w:t>2</w:t>
            </w:r>
            <w:r w:rsidRPr="008D12C8">
              <w:rPr>
                <w:rFonts w:eastAsia="Calibri"/>
                <w:i/>
                <w:sz w:val="22"/>
                <w:szCs w:val="22"/>
                <w:lang w:val="en-US" w:eastAsia="en-US"/>
              </w:rPr>
              <w:t>CO</w:t>
            </w:r>
            <w:r w:rsidRPr="008D12C8">
              <w:rPr>
                <w:rFonts w:eastAsia="Calibri"/>
                <w:i/>
                <w:sz w:val="22"/>
                <w:szCs w:val="22"/>
                <w:lang w:val="ru-RU" w:eastAsia="en-US"/>
              </w:rPr>
              <w:t>3)</w:t>
            </w:r>
            <w:r w:rsidRPr="008D12C8">
              <w:rPr>
                <w:rFonts w:eastAsia="Calibri"/>
                <w:i/>
                <w:sz w:val="22"/>
                <w:szCs w:val="22"/>
                <w:lang w:eastAsia="en-US"/>
              </w:rPr>
              <w:t xml:space="preserve"> в перерахунку на </w:t>
            </w:r>
            <w:proofErr w:type="spellStart"/>
            <w:r w:rsidRPr="008D12C8">
              <w:rPr>
                <w:rFonts w:eastAsia="Calibri"/>
                <w:i/>
                <w:sz w:val="22"/>
                <w:szCs w:val="22"/>
                <w:lang w:eastAsia="en-US"/>
              </w:rPr>
              <w:t>непрокраплений</w:t>
            </w:r>
            <w:proofErr w:type="spellEnd"/>
            <w:r w:rsidRPr="008D12C8">
              <w:rPr>
                <w:rFonts w:eastAsia="Calibri"/>
                <w:i/>
                <w:sz w:val="22"/>
                <w:szCs w:val="22"/>
                <w:lang w:eastAsia="en-US"/>
              </w:rPr>
              <w:t xml:space="preserve"> продукт %,не менше 98,2</w:t>
            </w:r>
            <w:r w:rsidRPr="008D12C8">
              <w:rPr>
                <w:rFonts w:eastAsia="Calibri"/>
                <w:i/>
                <w:sz w:val="22"/>
                <w:szCs w:val="22"/>
                <w:lang w:val="ru-RU" w:eastAsia="en-US"/>
              </w:rPr>
              <w:t>;</w:t>
            </w:r>
            <w:proofErr w:type="spellStart"/>
            <w:r w:rsidRPr="008D12C8">
              <w:rPr>
                <w:rFonts w:eastAsia="Calibri"/>
                <w:i/>
                <w:sz w:val="22"/>
                <w:szCs w:val="22"/>
                <w:lang w:val="ru-RU" w:eastAsia="en-US"/>
              </w:rPr>
              <w:t>масова</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частка</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втрати</w:t>
            </w:r>
            <w:proofErr w:type="spellEnd"/>
            <w:r w:rsidRPr="008D12C8">
              <w:rPr>
                <w:rFonts w:eastAsia="Calibri"/>
                <w:i/>
                <w:sz w:val="22"/>
                <w:szCs w:val="22"/>
                <w:lang w:val="ru-RU" w:eastAsia="en-US"/>
              </w:rPr>
              <w:t xml:space="preserve"> при </w:t>
            </w:r>
            <w:proofErr w:type="spellStart"/>
            <w:r w:rsidRPr="008D12C8">
              <w:rPr>
                <w:rFonts w:eastAsia="Calibri"/>
                <w:i/>
                <w:sz w:val="22"/>
                <w:szCs w:val="22"/>
                <w:lang w:val="ru-RU" w:eastAsia="en-US"/>
              </w:rPr>
              <w:t>прокрапленні</w:t>
            </w:r>
            <w:proofErr w:type="spellEnd"/>
            <w:r w:rsidRPr="008D12C8">
              <w:rPr>
                <w:rFonts w:eastAsia="Calibri"/>
                <w:i/>
                <w:sz w:val="22"/>
                <w:szCs w:val="22"/>
                <w:lang w:val="ru-RU" w:eastAsia="en-US"/>
              </w:rPr>
              <w:t xml:space="preserve"> (270-300)С,% не </w:t>
            </w:r>
            <w:proofErr w:type="spellStart"/>
            <w:r w:rsidRPr="008D12C8">
              <w:rPr>
                <w:rFonts w:eastAsia="Calibri"/>
                <w:i/>
                <w:sz w:val="22"/>
                <w:szCs w:val="22"/>
                <w:lang w:val="ru-RU" w:eastAsia="en-US"/>
              </w:rPr>
              <w:t>менше</w:t>
            </w:r>
            <w:proofErr w:type="spellEnd"/>
            <w:r w:rsidRPr="008D12C8">
              <w:rPr>
                <w:rFonts w:eastAsia="Calibri"/>
                <w:i/>
                <w:sz w:val="22"/>
                <w:szCs w:val="22"/>
                <w:lang w:val="ru-RU" w:eastAsia="en-US"/>
              </w:rPr>
              <w:t xml:space="preserve"> 0,8; </w:t>
            </w:r>
            <w:proofErr w:type="spellStart"/>
            <w:r w:rsidRPr="008D12C8">
              <w:rPr>
                <w:rFonts w:eastAsia="Calibri"/>
                <w:i/>
                <w:sz w:val="22"/>
                <w:szCs w:val="22"/>
                <w:lang w:val="ru-RU" w:eastAsia="en-US"/>
              </w:rPr>
              <w:t>масова</w:t>
            </w:r>
            <w:proofErr w:type="spellEnd"/>
            <w:r w:rsidRPr="008D12C8">
              <w:rPr>
                <w:rFonts w:eastAsia="Calibri"/>
                <w:i/>
                <w:sz w:val="22"/>
                <w:szCs w:val="22"/>
                <w:lang w:val="ru-RU" w:eastAsia="en-US"/>
              </w:rPr>
              <w:t xml:space="preserve"> доля </w:t>
            </w:r>
            <w:proofErr w:type="spellStart"/>
            <w:r w:rsidRPr="008D12C8">
              <w:rPr>
                <w:rFonts w:eastAsia="Calibri"/>
                <w:i/>
                <w:sz w:val="22"/>
                <w:szCs w:val="22"/>
                <w:lang w:val="ru-RU" w:eastAsia="en-US"/>
              </w:rPr>
              <w:t>хлоридів</w:t>
            </w:r>
            <w:proofErr w:type="spellEnd"/>
            <w:r w:rsidRPr="008D12C8">
              <w:rPr>
                <w:rFonts w:eastAsia="Calibri"/>
                <w:i/>
                <w:sz w:val="22"/>
                <w:szCs w:val="22"/>
                <w:lang w:val="ru-RU" w:eastAsia="en-US"/>
              </w:rPr>
              <w:t xml:space="preserve"> </w:t>
            </w:r>
            <w:proofErr w:type="gramStart"/>
            <w:r w:rsidRPr="008D12C8">
              <w:rPr>
                <w:rFonts w:eastAsia="Calibri"/>
                <w:i/>
                <w:sz w:val="22"/>
                <w:szCs w:val="22"/>
                <w:lang w:val="ru-RU" w:eastAsia="en-US"/>
              </w:rPr>
              <w:t>в</w:t>
            </w:r>
            <w:proofErr w:type="gram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перерахунку</w:t>
            </w:r>
            <w:proofErr w:type="spellEnd"/>
            <w:r w:rsidRPr="008D12C8">
              <w:rPr>
                <w:rFonts w:eastAsia="Calibri"/>
                <w:i/>
                <w:sz w:val="22"/>
                <w:szCs w:val="22"/>
                <w:lang w:val="ru-RU" w:eastAsia="en-US"/>
              </w:rPr>
              <w:t xml:space="preserve"> на </w:t>
            </w:r>
            <w:proofErr w:type="spellStart"/>
            <w:r w:rsidRPr="008D12C8">
              <w:rPr>
                <w:rFonts w:eastAsia="Calibri"/>
                <w:i/>
                <w:sz w:val="22"/>
                <w:szCs w:val="22"/>
                <w:lang w:val="en-US" w:eastAsia="en-US"/>
              </w:rPr>
              <w:t>NaCI</w:t>
            </w:r>
            <w:proofErr w:type="spellEnd"/>
            <w:r w:rsidRPr="008D12C8">
              <w:rPr>
                <w:rFonts w:eastAsia="Calibri"/>
                <w:i/>
                <w:sz w:val="22"/>
                <w:szCs w:val="22"/>
                <w:lang w:eastAsia="en-US"/>
              </w:rPr>
              <w:t>,</w:t>
            </w:r>
            <w:r w:rsidRPr="008D12C8">
              <w:rPr>
                <w:rFonts w:eastAsia="Calibri"/>
                <w:i/>
                <w:sz w:val="22"/>
                <w:szCs w:val="22"/>
                <w:lang w:val="ru-RU" w:eastAsia="en-US"/>
              </w:rPr>
              <w:t>%</w:t>
            </w:r>
            <w:r w:rsidRPr="008D12C8">
              <w:rPr>
                <w:rFonts w:eastAsia="Calibri"/>
                <w:i/>
                <w:sz w:val="22"/>
                <w:szCs w:val="22"/>
                <w:lang w:eastAsia="en-US"/>
              </w:rPr>
              <w:t xml:space="preserve"> ,не більше 0,5</w:t>
            </w:r>
            <w:r w:rsidRPr="008D12C8">
              <w:rPr>
                <w:rFonts w:eastAsia="Calibri"/>
                <w:i/>
                <w:sz w:val="22"/>
                <w:szCs w:val="22"/>
                <w:lang w:val="ru-RU" w:eastAsia="en-US"/>
              </w:rPr>
              <w:t>;</w:t>
            </w:r>
            <w:proofErr w:type="spellStart"/>
            <w:r w:rsidRPr="008D12C8">
              <w:rPr>
                <w:rFonts w:eastAsia="Calibri"/>
                <w:i/>
                <w:sz w:val="22"/>
                <w:szCs w:val="22"/>
                <w:lang w:val="ru-RU" w:eastAsia="en-US"/>
              </w:rPr>
              <w:t>масова</w:t>
            </w:r>
            <w:proofErr w:type="spellEnd"/>
            <w:r w:rsidRPr="008D12C8">
              <w:rPr>
                <w:rFonts w:eastAsia="Calibri"/>
                <w:i/>
                <w:sz w:val="22"/>
                <w:szCs w:val="22"/>
                <w:lang w:val="ru-RU" w:eastAsia="en-US"/>
              </w:rPr>
              <w:t xml:space="preserve"> доля </w:t>
            </w:r>
            <w:proofErr w:type="spellStart"/>
            <w:r w:rsidRPr="008D12C8">
              <w:rPr>
                <w:rFonts w:eastAsia="Calibri"/>
                <w:i/>
                <w:sz w:val="22"/>
                <w:szCs w:val="22"/>
                <w:lang w:val="ru-RU" w:eastAsia="en-US"/>
              </w:rPr>
              <w:t>заліза</w:t>
            </w:r>
            <w:proofErr w:type="spellEnd"/>
            <w:r w:rsidRPr="008D12C8">
              <w:rPr>
                <w:rFonts w:eastAsia="Calibri"/>
                <w:i/>
                <w:sz w:val="22"/>
                <w:szCs w:val="22"/>
                <w:lang w:val="ru-RU" w:eastAsia="en-US"/>
              </w:rPr>
              <w:t xml:space="preserve">  в </w:t>
            </w:r>
            <w:proofErr w:type="spellStart"/>
            <w:r w:rsidRPr="008D12C8">
              <w:rPr>
                <w:rFonts w:eastAsia="Calibri"/>
                <w:i/>
                <w:sz w:val="22"/>
                <w:szCs w:val="22"/>
                <w:lang w:val="ru-RU" w:eastAsia="en-US"/>
              </w:rPr>
              <w:t>перерахунку</w:t>
            </w:r>
            <w:proofErr w:type="spellEnd"/>
            <w:r w:rsidRPr="008D12C8">
              <w:rPr>
                <w:rFonts w:eastAsia="Calibri"/>
                <w:i/>
                <w:sz w:val="22"/>
                <w:szCs w:val="22"/>
                <w:lang w:val="ru-RU" w:eastAsia="en-US"/>
              </w:rPr>
              <w:t xml:space="preserve"> на (</w:t>
            </w:r>
            <w:r w:rsidRPr="008D12C8">
              <w:rPr>
                <w:rFonts w:eastAsia="Calibri"/>
                <w:i/>
                <w:sz w:val="22"/>
                <w:szCs w:val="22"/>
                <w:lang w:val="en-US" w:eastAsia="en-US"/>
              </w:rPr>
              <w:t>Fe</w:t>
            </w:r>
            <w:r w:rsidRPr="008D12C8">
              <w:rPr>
                <w:rFonts w:eastAsia="Calibri"/>
                <w:i/>
                <w:sz w:val="22"/>
                <w:szCs w:val="22"/>
                <w:lang w:val="ru-RU" w:eastAsia="en-US"/>
              </w:rPr>
              <w:t>2</w:t>
            </w:r>
            <w:r w:rsidRPr="008D12C8">
              <w:rPr>
                <w:rFonts w:eastAsia="Calibri"/>
                <w:i/>
                <w:sz w:val="22"/>
                <w:szCs w:val="22"/>
                <w:lang w:val="en-US" w:eastAsia="en-US"/>
              </w:rPr>
              <w:t>O</w:t>
            </w:r>
            <w:r w:rsidRPr="008D12C8">
              <w:rPr>
                <w:rFonts w:eastAsia="Calibri"/>
                <w:i/>
                <w:sz w:val="22"/>
                <w:szCs w:val="22"/>
                <w:lang w:val="ru-RU" w:eastAsia="en-US"/>
              </w:rPr>
              <w:t xml:space="preserve">3),%, не </w:t>
            </w:r>
            <w:proofErr w:type="spellStart"/>
            <w:r w:rsidRPr="008D12C8">
              <w:rPr>
                <w:rFonts w:eastAsia="Calibri"/>
                <w:i/>
                <w:sz w:val="22"/>
                <w:szCs w:val="22"/>
                <w:lang w:val="ru-RU" w:eastAsia="en-US"/>
              </w:rPr>
              <w:t>більше</w:t>
            </w:r>
            <w:proofErr w:type="spellEnd"/>
            <w:r w:rsidRPr="008D12C8">
              <w:rPr>
                <w:rFonts w:eastAsia="Calibri"/>
                <w:i/>
                <w:sz w:val="22"/>
                <w:szCs w:val="22"/>
                <w:lang w:val="ru-RU" w:eastAsia="en-US"/>
              </w:rPr>
              <w:t xml:space="preserve"> 0,003; </w:t>
            </w:r>
            <w:r w:rsidRPr="008D12C8">
              <w:rPr>
                <w:rFonts w:eastAsia="Calibri"/>
                <w:i/>
                <w:sz w:val="22"/>
                <w:szCs w:val="22"/>
                <w:lang w:eastAsia="en-US"/>
              </w:rPr>
              <w:t>масова доля  речовини , нерозчинних у воді,% не більше 0,04</w:t>
            </w:r>
            <w:r w:rsidRPr="008D12C8">
              <w:rPr>
                <w:rFonts w:eastAsia="Calibri"/>
                <w:i/>
                <w:sz w:val="22"/>
                <w:szCs w:val="22"/>
                <w:lang w:val="ru-RU" w:eastAsia="en-US"/>
              </w:rPr>
              <w:t>;</w:t>
            </w:r>
            <w:r w:rsidRPr="008D12C8">
              <w:rPr>
                <w:rFonts w:eastAsia="Calibri"/>
                <w:i/>
                <w:sz w:val="22"/>
                <w:szCs w:val="22"/>
                <w:lang w:eastAsia="en-US"/>
              </w:rPr>
              <w:t xml:space="preserve">масова доля сульфатів </w:t>
            </w:r>
            <w:proofErr w:type="gramStart"/>
            <w:r w:rsidRPr="008D12C8">
              <w:rPr>
                <w:rFonts w:eastAsia="Calibri"/>
                <w:i/>
                <w:sz w:val="22"/>
                <w:szCs w:val="22"/>
                <w:lang w:eastAsia="en-US"/>
              </w:rPr>
              <w:t>в</w:t>
            </w:r>
            <w:proofErr w:type="gramEnd"/>
            <w:r w:rsidRPr="008D12C8">
              <w:rPr>
                <w:rFonts w:eastAsia="Calibri"/>
                <w:i/>
                <w:sz w:val="22"/>
                <w:szCs w:val="22"/>
                <w:lang w:eastAsia="en-US"/>
              </w:rPr>
              <w:t xml:space="preserve"> перерахунку на (</w:t>
            </w:r>
            <w:r w:rsidRPr="008D12C8">
              <w:rPr>
                <w:rFonts w:eastAsia="Calibri"/>
                <w:i/>
                <w:sz w:val="22"/>
                <w:szCs w:val="22"/>
                <w:lang w:val="en-US" w:eastAsia="en-US"/>
              </w:rPr>
              <w:t>Na</w:t>
            </w:r>
            <w:r w:rsidRPr="008D12C8">
              <w:rPr>
                <w:rFonts w:eastAsia="Calibri"/>
                <w:i/>
                <w:sz w:val="22"/>
                <w:szCs w:val="22"/>
                <w:lang w:val="ru-RU" w:eastAsia="en-US"/>
              </w:rPr>
              <w:t>2</w:t>
            </w:r>
            <w:r w:rsidRPr="008D12C8">
              <w:rPr>
                <w:rFonts w:eastAsia="Calibri"/>
                <w:i/>
                <w:sz w:val="22"/>
                <w:szCs w:val="22"/>
                <w:lang w:val="en-US" w:eastAsia="en-US"/>
              </w:rPr>
              <w:t>SO</w:t>
            </w:r>
            <w:r w:rsidRPr="008D12C8">
              <w:rPr>
                <w:rFonts w:eastAsia="Calibri"/>
                <w:i/>
                <w:sz w:val="22"/>
                <w:szCs w:val="22"/>
                <w:lang w:val="ru-RU" w:eastAsia="en-US"/>
              </w:rPr>
              <w:t xml:space="preserve">4),%,не </w:t>
            </w:r>
            <w:proofErr w:type="spellStart"/>
            <w:r w:rsidRPr="008D12C8">
              <w:rPr>
                <w:rFonts w:eastAsia="Calibri"/>
                <w:i/>
                <w:sz w:val="22"/>
                <w:szCs w:val="22"/>
                <w:lang w:val="ru-RU" w:eastAsia="en-US"/>
              </w:rPr>
              <w:t>більше</w:t>
            </w:r>
            <w:proofErr w:type="spellEnd"/>
            <w:r w:rsidRPr="008D12C8">
              <w:rPr>
                <w:rFonts w:eastAsia="Calibri"/>
                <w:i/>
                <w:sz w:val="22"/>
                <w:szCs w:val="22"/>
                <w:lang w:val="ru-RU" w:eastAsia="en-US"/>
              </w:rPr>
              <w:t xml:space="preserve"> 0,05</w:t>
            </w:r>
            <w:r w:rsidRPr="008D12C8">
              <w:rPr>
                <w:rFonts w:eastAsia="Calibri"/>
                <w:i/>
                <w:sz w:val="22"/>
                <w:szCs w:val="22"/>
                <w:lang w:eastAsia="en-US"/>
              </w:rPr>
              <w:t xml:space="preserve"> </w:t>
            </w:r>
          </w:p>
        </w:tc>
        <w:tc>
          <w:tcPr>
            <w:tcW w:w="2201" w:type="dxa"/>
            <w:tcBorders>
              <w:top w:val="single" w:sz="4" w:space="0" w:color="auto"/>
              <w:left w:val="nil"/>
              <w:bottom w:val="single" w:sz="4" w:space="0" w:color="auto"/>
              <w:right w:val="single" w:sz="4" w:space="0" w:color="auto"/>
            </w:tcBorders>
            <w:vAlign w:val="center"/>
            <w:hideMark/>
          </w:tcPr>
          <w:p w:rsidR="008D12C8" w:rsidRPr="008D12C8" w:rsidRDefault="008D12C8" w:rsidP="008D12C8">
            <w:pPr>
              <w:spacing w:after="160" w:line="256" w:lineRule="auto"/>
              <w:jc w:val="center"/>
              <w:rPr>
                <w:rFonts w:eastAsia="Calibri"/>
                <w:i/>
                <w:sz w:val="22"/>
                <w:szCs w:val="22"/>
                <w:lang w:val="ru-RU" w:eastAsia="en-US"/>
              </w:rPr>
            </w:pPr>
            <w:proofErr w:type="spellStart"/>
            <w:r w:rsidRPr="008D12C8">
              <w:rPr>
                <w:rFonts w:eastAsia="Calibri"/>
                <w:i/>
                <w:sz w:val="22"/>
                <w:szCs w:val="22"/>
                <w:lang w:val="ru-RU" w:eastAsia="en-US"/>
              </w:rPr>
              <w:t>Сертифікат</w:t>
            </w:r>
            <w:proofErr w:type="spellEnd"/>
            <w:r w:rsidRPr="008D12C8">
              <w:rPr>
                <w:rFonts w:eastAsia="Calibri"/>
                <w:i/>
                <w:sz w:val="22"/>
                <w:szCs w:val="22"/>
                <w:lang w:val="ru-RU" w:eastAsia="en-US"/>
              </w:rPr>
              <w:t xml:space="preserve"> </w:t>
            </w:r>
            <w:proofErr w:type="spellStart"/>
            <w:r w:rsidRPr="008D12C8">
              <w:rPr>
                <w:rFonts w:eastAsia="Calibri"/>
                <w:i/>
                <w:sz w:val="22"/>
                <w:szCs w:val="22"/>
                <w:lang w:val="ru-RU" w:eastAsia="en-US"/>
              </w:rPr>
              <w:t>якості</w:t>
            </w:r>
            <w:proofErr w:type="spellEnd"/>
          </w:p>
        </w:tc>
      </w:tr>
    </w:tbl>
    <w:p w:rsidR="008D12C8" w:rsidRPr="008D12C8" w:rsidRDefault="008D12C8" w:rsidP="008D12C8">
      <w:pPr>
        <w:shd w:val="clear" w:color="auto" w:fill="FFFFFF"/>
        <w:jc w:val="both"/>
      </w:pPr>
      <w:r w:rsidRPr="008D12C8">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8D12C8" w:rsidRPr="008D12C8" w:rsidRDefault="008D12C8" w:rsidP="008D12C8">
      <w:pPr>
        <w:shd w:val="clear" w:color="auto" w:fill="FFFFFF"/>
        <w:rPr>
          <w:b/>
        </w:rPr>
      </w:pPr>
    </w:p>
    <w:p w:rsidR="008D12C8" w:rsidRPr="008D12C8" w:rsidRDefault="008D12C8" w:rsidP="008D12C8">
      <w:pPr>
        <w:shd w:val="clear" w:color="auto" w:fill="FFFFFF"/>
        <w:tabs>
          <w:tab w:val="left" w:pos="993"/>
        </w:tabs>
        <w:jc w:val="both"/>
      </w:pPr>
      <w:r w:rsidRPr="008D12C8">
        <w:t>Рік виготовлення –2023 рр.;</w:t>
      </w:r>
    </w:p>
    <w:p w:rsidR="008D12C8" w:rsidRPr="008D12C8" w:rsidRDefault="008D12C8" w:rsidP="008D12C8">
      <w:pPr>
        <w:shd w:val="clear" w:color="auto" w:fill="FFFFFF"/>
        <w:tabs>
          <w:tab w:val="left" w:pos="993"/>
        </w:tabs>
        <w:jc w:val="both"/>
        <w:rPr>
          <w:sz w:val="22"/>
          <w:szCs w:val="22"/>
        </w:rPr>
      </w:pPr>
      <w:r w:rsidRPr="008D12C8">
        <w:rPr>
          <w:sz w:val="22"/>
          <w:szCs w:val="22"/>
        </w:rPr>
        <w:t xml:space="preserve">Строк поставки: до 31.12.2023 року; </w:t>
      </w:r>
    </w:p>
    <w:p w:rsidR="008D12C8" w:rsidRPr="008D12C8" w:rsidRDefault="008D12C8" w:rsidP="008D12C8">
      <w:pPr>
        <w:shd w:val="clear" w:color="auto" w:fill="FFFFFF"/>
        <w:tabs>
          <w:tab w:val="left" w:pos="993"/>
        </w:tabs>
        <w:jc w:val="both"/>
        <w:rPr>
          <w:sz w:val="22"/>
          <w:szCs w:val="22"/>
        </w:rPr>
      </w:pPr>
      <w:r w:rsidRPr="008D12C8">
        <w:rPr>
          <w:sz w:val="22"/>
          <w:szCs w:val="22"/>
        </w:rPr>
        <w:t>Місце поставки: на умовах DDP відповідно до вимог «ІНКОТЕРМС» ред. 20</w:t>
      </w:r>
      <w:r w:rsidRPr="008D12C8">
        <w:rPr>
          <w:sz w:val="22"/>
          <w:szCs w:val="22"/>
          <w:lang w:val="ru-RU"/>
        </w:rPr>
        <w:t>2</w:t>
      </w:r>
      <w:r w:rsidRPr="008D12C8">
        <w:rPr>
          <w:sz w:val="22"/>
          <w:szCs w:val="22"/>
        </w:rPr>
        <w:t>0 р. – Львівська область, м. Стрий, вул. Зубенка,2, філія «СВРЗ» АТ «Укрзалізниця»;</w:t>
      </w:r>
    </w:p>
    <w:p w:rsidR="008D12C8" w:rsidRPr="008D12C8" w:rsidRDefault="008D12C8" w:rsidP="008D12C8">
      <w:pPr>
        <w:shd w:val="clear" w:color="auto" w:fill="FFFFFF"/>
        <w:tabs>
          <w:tab w:val="left" w:pos="993"/>
        </w:tabs>
        <w:jc w:val="both"/>
        <w:rPr>
          <w:sz w:val="22"/>
          <w:szCs w:val="22"/>
        </w:rPr>
      </w:pPr>
      <w:r w:rsidRPr="008D12C8">
        <w:rPr>
          <w:sz w:val="22"/>
          <w:szCs w:val="22"/>
        </w:rPr>
        <w:t xml:space="preserve">Умови поставки – </w:t>
      </w:r>
      <w:r w:rsidRPr="008D12C8">
        <w:rPr>
          <w:rFonts w:eastAsia="Batang"/>
          <w:bCs/>
          <w:color w:val="000000"/>
          <w:lang w:eastAsia="ru-RU"/>
        </w:rPr>
        <w:t>протягом 5 днів після подання заявки Замовником</w:t>
      </w:r>
      <w:r w:rsidRPr="008D12C8">
        <w:rPr>
          <w:sz w:val="22"/>
          <w:szCs w:val="22"/>
        </w:rPr>
        <w:t>.</w:t>
      </w:r>
    </w:p>
    <w:p w:rsidR="008D12C8" w:rsidRPr="008D12C8" w:rsidRDefault="008D12C8" w:rsidP="008D12C8">
      <w:pPr>
        <w:shd w:val="clear" w:color="auto" w:fill="FFFFFF"/>
        <w:tabs>
          <w:tab w:val="left" w:pos="993"/>
        </w:tabs>
        <w:jc w:val="both"/>
        <w:rPr>
          <w:sz w:val="22"/>
          <w:szCs w:val="22"/>
        </w:rPr>
      </w:pPr>
      <w:r w:rsidRPr="008D12C8">
        <w:rPr>
          <w:sz w:val="22"/>
          <w:szCs w:val="22"/>
        </w:rPr>
        <w:t>Товар не повинен бути у попередній експлуатації, терміни та умови його зберігання не порушені.</w:t>
      </w:r>
    </w:p>
    <w:p w:rsidR="008D12C8" w:rsidRPr="008D12C8" w:rsidRDefault="008D12C8" w:rsidP="008D12C8">
      <w:pPr>
        <w:ind w:firstLine="567"/>
        <w:jc w:val="both"/>
        <w:outlineLvl w:val="0"/>
      </w:pPr>
      <w:r w:rsidRPr="008D12C8">
        <w:rPr>
          <w:sz w:val="22"/>
          <w:szCs w:val="22"/>
        </w:rPr>
        <w:t xml:space="preserve">Умови оплати –  </w:t>
      </w:r>
      <w:r w:rsidRPr="008D12C8">
        <w:rPr>
          <w:i/>
          <w:sz w:val="22"/>
          <w:szCs w:val="22"/>
        </w:rPr>
        <w:t>Для платників ПДВ</w:t>
      </w:r>
      <w:r w:rsidRPr="008D12C8">
        <w:rPr>
          <w:sz w:val="22"/>
          <w:szCs w:val="22"/>
        </w:rPr>
        <w:t xml:space="preserve">: </w:t>
      </w:r>
      <w:r w:rsidRPr="008D12C8">
        <w:t>Оплата за кожну партію поставленого ТОВАРУ за цим Договором проводиться ПОКУПЦЕМ на 10 (десятий) банківський день з дати реєстрації податкової накладної, оформленої відповідно до вимог законодавства України, та відповідно до рахунку-фактури на поставлену партію ТОВАРУ, за наявності документів, що підтверджують якість ТОВАРУ.</w:t>
      </w:r>
    </w:p>
    <w:p w:rsidR="008D12C8" w:rsidRPr="008D12C8" w:rsidRDefault="008D12C8" w:rsidP="008D12C8">
      <w:pPr>
        <w:widowControl w:val="0"/>
        <w:spacing w:before="120"/>
        <w:ind w:firstLine="567"/>
        <w:jc w:val="both"/>
      </w:pPr>
      <w:r w:rsidRPr="008D12C8">
        <w:rPr>
          <w:i/>
        </w:rPr>
        <w:t>Для неплатників ПДВ</w:t>
      </w:r>
      <w:r w:rsidRPr="008D12C8">
        <w:t xml:space="preserve">: </w:t>
      </w:r>
    </w:p>
    <w:p w:rsidR="008D12C8" w:rsidRPr="008D12C8" w:rsidRDefault="008D12C8" w:rsidP="008D12C8">
      <w:pPr>
        <w:widowControl w:val="0"/>
        <w:spacing w:before="120"/>
        <w:ind w:firstLine="567"/>
        <w:jc w:val="both"/>
        <w:rPr>
          <w:i/>
        </w:rPr>
      </w:pPr>
      <w:r w:rsidRPr="008D12C8">
        <w:rPr>
          <w:i/>
        </w:rPr>
        <w:t>Для резидентів України</w:t>
      </w:r>
    </w:p>
    <w:p w:rsidR="008D12C8" w:rsidRPr="008D12C8" w:rsidRDefault="008D12C8" w:rsidP="008D12C8">
      <w:pPr>
        <w:ind w:firstLine="567"/>
        <w:jc w:val="both"/>
        <w:outlineLvl w:val="0"/>
      </w:pPr>
      <w:r w:rsidRPr="008D12C8">
        <w:tab/>
        <w:t xml:space="preserve">Оплата за кожну партію поставленого ТОВАРУ за цим Договором проводиться ПОКУПЦЕМ на 10 (десятий) банківський день з дати підписання </w:t>
      </w:r>
      <w:proofErr w:type="spellStart"/>
      <w:r w:rsidRPr="008D12C8">
        <w:t>Акта</w:t>
      </w:r>
      <w:proofErr w:type="spellEnd"/>
      <w:r w:rsidRPr="008D12C8">
        <w:t xml:space="preserve"> прийому-передачі товару або видаткової накладної та відповідно до рахунку-фактури на поставлену партію ТОВАРУ, за наявності документів, що підтверджують якість ТОВАРУ. </w:t>
      </w:r>
    </w:p>
    <w:p w:rsidR="008D12C8" w:rsidRPr="008D12C8" w:rsidRDefault="008D12C8" w:rsidP="008D12C8">
      <w:pPr>
        <w:spacing w:before="120"/>
        <w:ind w:firstLine="709"/>
        <w:jc w:val="both"/>
        <w:rPr>
          <w:i/>
        </w:rPr>
      </w:pPr>
      <w:r w:rsidRPr="008D12C8">
        <w:rPr>
          <w:i/>
        </w:rPr>
        <w:t>Для нерезидентів України:</w:t>
      </w:r>
    </w:p>
    <w:p w:rsidR="008D12C8" w:rsidRPr="008D12C8" w:rsidRDefault="008D12C8" w:rsidP="008D12C8">
      <w:pPr>
        <w:ind w:firstLine="567"/>
        <w:jc w:val="both"/>
        <w:outlineLvl w:val="0"/>
      </w:pPr>
      <w:r w:rsidRPr="008D12C8">
        <w:t>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w:t>
      </w:r>
      <w:proofErr w:type="spellStart"/>
      <w:r w:rsidRPr="008D12C8">
        <w:t>інвойса</w:t>
      </w:r>
      <w:proofErr w:type="spellEnd"/>
      <w:r w:rsidRPr="008D12C8">
        <w:t>) на поставлену партію ТОВАРУ, за наявності документів, що підтверджують якість ТОВАРУ.</w:t>
      </w:r>
    </w:p>
    <w:p w:rsidR="005E43AD" w:rsidRPr="008D12C8" w:rsidRDefault="005E43AD" w:rsidP="008D12C8">
      <w:pPr>
        <w:rPr>
          <w:b/>
          <w:lang w:val="en-US"/>
        </w:rPr>
        <w:sectPr w:rsidR="005E43AD" w:rsidRPr="008D12C8" w:rsidSect="0042197F">
          <w:headerReference w:type="even" r:id="rId33"/>
          <w:footerReference w:type="even" r:id="rId34"/>
          <w:footerReference w:type="default" r:id="rId35"/>
          <w:headerReference w:type="first" r:id="rId36"/>
          <w:footerReference w:type="first" r:id="rId37"/>
          <w:pgSz w:w="11909" w:h="16834"/>
          <w:pgMar w:top="284" w:right="680" w:bottom="425" w:left="851" w:header="720" w:footer="261" w:gutter="0"/>
          <w:pgNumType w:start="1"/>
          <w:cols w:space="720"/>
        </w:sectPr>
      </w:pPr>
      <w:bookmarkStart w:id="46" w:name="_GoBack"/>
      <w:bookmarkEnd w:id="46"/>
    </w:p>
    <w:p w:rsidR="005E43AD" w:rsidRPr="008D12C8" w:rsidRDefault="005E43AD" w:rsidP="005E43AD">
      <w:pPr>
        <w:autoSpaceDE w:val="0"/>
        <w:autoSpaceDN w:val="0"/>
        <w:adjustRightInd w:val="0"/>
        <w:jc w:val="both"/>
        <w:rPr>
          <w:rFonts w:ascii="Tms Rmn" w:hAnsi="Tms Rmn"/>
          <w:lang w:val="en-US"/>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324A0">
        <w:rPr>
          <w:sz w:val="22"/>
          <w:szCs w:val="22"/>
        </w:rPr>
        <w:t>мовного</w:t>
      </w:r>
      <w:proofErr w:type="spellEnd"/>
      <w:r w:rsidRPr="00E324A0">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324A0">
        <w:rPr>
          <w:sz w:val="22"/>
          <w:szCs w:val="22"/>
        </w:rPr>
        <w:t>закупівель</w:t>
      </w:r>
      <w:proofErr w:type="spellEnd"/>
      <w:r w:rsidRPr="00E324A0">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w:t>
      </w:r>
      <w:proofErr w:type="spellStart"/>
      <w:r w:rsidR="005E43AD" w:rsidRPr="008D2989">
        <w:rPr>
          <w:b/>
        </w:rPr>
        <w:t>закупівель</w:t>
      </w:r>
      <w:proofErr w:type="spellEnd"/>
      <w:r w:rsidR="005E43AD" w:rsidRPr="008D2989">
        <w:rPr>
          <w:b/>
        </w:rPr>
        <w:t xml:space="preserve">,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w:t>
            </w:r>
            <w:proofErr w:type="spellStart"/>
            <w:r w:rsidRPr="003C410C">
              <w:rPr>
                <w:color w:val="000000"/>
                <w:sz w:val="22"/>
                <w:szCs w:val="22"/>
                <w:shd w:val="clear" w:color="auto" w:fill="FFFFFF"/>
              </w:rPr>
              <w:t>внесено</w:t>
            </w:r>
            <w:proofErr w:type="spellEnd"/>
            <w:r w:rsidRPr="003C410C">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C410C">
              <w:rPr>
                <w:color w:val="000000"/>
                <w:sz w:val="22"/>
                <w:szCs w:val="22"/>
                <w:shd w:val="clear" w:color="auto" w:fill="FFFFFF"/>
              </w:rPr>
              <w:t>закупівель</w:t>
            </w:r>
            <w:proofErr w:type="spellEnd"/>
            <w:r w:rsidRPr="003C410C">
              <w:rPr>
                <w:color w:val="000000"/>
                <w:sz w:val="22"/>
                <w:szCs w:val="22"/>
                <w:shd w:val="clear" w:color="auto" w:fill="FFFFFF"/>
              </w:rPr>
              <w:t xml:space="preserve">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D23F08" w:rsidRPr="00337ED6" w:rsidRDefault="00D23F08" w:rsidP="005E43AD">
                            <w:pPr>
                              <w:jc w:val="center"/>
                              <w:textDirection w:val="btLr"/>
                              <w:rPr>
                                <w:b/>
                                <w:color w:val="FF0000"/>
                                <w:sz w:val="22"/>
                                <w:szCs w:val="22"/>
                              </w:rPr>
                            </w:pPr>
                            <w:r w:rsidRPr="00337ED6">
                              <w:rPr>
                                <w:b/>
                                <w:color w:val="FF0000"/>
                                <w:sz w:val="22"/>
                                <w:szCs w:val="22"/>
                              </w:rPr>
                              <w:t xml:space="preserve">Увага!!! </w:t>
                            </w:r>
                          </w:p>
                          <w:p w:rsidR="00D23F08" w:rsidRDefault="00D23F08"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D23F08" w:rsidRPr="00337ED6" w:rsidRDefault="00D23F08"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D23F08" w:rsidRPr="00337ED6" w:rsidRDefault="00D23F08" w:rsidP="005E43AD">
                      <w:pPr>
                        <w:jc w:val="center"/>
                        <w:textDirection w:val="btLr"/>
                        <w:rPr>
                          <w:b/>
                          <w:color w:val="FF0000"/>
                          <w:sz w:val="22"/>
                          <w:szCs w:val="22"/>
                        </w:rPr>
                      </w:pPr>
                      <w:r w:rsidRPr="00337ED6">
                        <w:rPr>
                          <w:b/>
                          <w:color w:val="FF0000"/>
                          <w:sz w:val="22"/>
                          <w:szCs w:val="22"/>
                        </w:rPr>
                        <w:t xml:space="preserve">Увага!!! </w:t>
                      </w:r>
                    </w:p>
                    <w:p w:rsidR="00D23F08" w:rsidRDefault="00D23F08"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D23F08" w:rsidRPr="00337ED6" w:rsidRDefault="00D23F08"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D23F08" w:rsidRPr="00337ED6" w:rsidRDefault="00D23F08" w:rsidP="005E43AD">
                            <w:pPr>
                              <w:jc w:val="center"/>
                              <w:textDirection w:val="btLr"/>
                              <w:rPr>
                                <w:b/>
                                <w:color w:val="FF0000"/>
                                <w:sz w:val="22"/>
                                <w:szCs w:val="22"/>
                              </w:rPr>
                            </w:pPr>
                            <w:r w:rsidRPr="00337ED6">
                              <w:rPr>
                                <w:b/>
                                <w:color w:val="FF0000"/>
                                <w:sz w:val="22"/>
                                <w:szCs w:val="22"/>
                              </w:rPr>
                              <w:t xml:space="preserve">Увага!!! </w:t>
                            </w:r>
                          </w:p>
                          <w:p w:rsidR="00D23F08" w:rsidRPr="00337ED6" w:rsidRDefault="00D23F08"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D23F08" w:rsidRPr="00337ED6" w:rsidRDefault="00D23F08" w:rsidP="005E43AD">
                      <w:pPr>
                        <w:jc w:val="center"/>
                        <w:textDirection w:val="btLr"/>
                        <w:rPr>
                          <w:b/>
                          <w:color w:val="FF0000"/>
                          <w:sz w:val="22"/>
                          <w:szCs w:val="22"/>
                        </w:rPr>
                      </w:pPr>
                      <w:r w:rsidRPr="00337ED6">
                        <w:rPr>
                          <w:b/>
                          <w:color w:val="FF0000"/>
                          <w:sz w:val="22"/>
                          <w:szCs w:val="22"/>
                        </w:rPr>
                        <w:t xml:space="preserve">Увага!!! </w:t>
                      </w:r>
                    </w:p>
                    <w:p w:rsidR="00D23F08" w:rsidRPr="00337ED6" w:rsidRDefault="00D23F08"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61" w:rsidRDefault="004F1861" w:rsidP="005E43AD">
      <w:r>
        <w:separator/>
      </w:r>
    </w:p>
  </w:endnote>
  <w:endnote w:type="continuationSeparator" w:id="0">
    <w:p w:rsidR="004F1861" w:rsidRDefault="004F1861"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08" w:rsidRDefault="00D23F0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08" w:rsidRDefault="00D23F0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08" w:rsidRDefault="00D23F0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61" w:rsidRDefault="004F1861" w:rsidP="005E43AD">
      <w:r>
        <w:separator/>
      </w:r>
    </w:p>
  </w:footnote>
  <w:footnote w:type="continuationSeparator" w:id="0">
    <w:p w:rsidR="004F1861" w:rsidRDefault="004F1861" w:rsidP="005E43AD">
      <w:r>
        <w:continuationSeparator/>
      </w:r>
    </w:p>
  </w:footnote>
  <w:footnote w:id="1">
    <w:p w:rsidR="00D23F08" w:rsidRDefault="00D23F08"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3F08" w:rsidRDefault="00D23F08" w:rsidP="005E43AD">
      <w:pPr>
        <w:pStyle w:val="affff2"/>
        <w:jc w:val="both"/>
      </w:pPr>
    </w:p>
    <w:p w:rsidR="00D23F08" w:rsidRPr="00177576" w:rsidRDefault="00D23F08" w:rsidP="005E43AD">
      <w:pPr>
        <w:pStyle w:val="affff2"/>
        <w:jc w:val="both"/>
        <w:rPr>
          <w:i/>
        </w:rPr>
      </w:pPr>
    </w:p>
  </w:footnote>
  <w:footnote w:id="2">
    <w:p w:rsidR="00D23F08" w:rsidRPr="00C57AB4" w:rsidRDefault="00D23F08"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D23F08" w:rsidRDefault="00D23F08"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D23F08" w:rsidRDefault="00D23F08" w:rsidP="005E43AD">
      <w:pPr>
        <w:pStyle w:val="affff2"/>
        <w:rPr>
          <w:color w:val="FF0000"/>
          <w:sz w:val="18"/>
          <w:szCs w:val="18"/>
        </w:rPr>
      </w:pPr>
    </w:p>
    <w:p w:rsidR="00D23F08" w:rsidRDefault="00D23F08" w:rsidP="005E43AD">
      <w:pPr>
        <w:pStyle w:val="affff2"/>
        <w:rPr>
          <w:color w:val="FF0000"/>
          <w:sz w:val="18"/>
          <w:szCs w:val="18"/>
        </w:rPr>
      </w:pPr>
    </w:p>
    <w:p w:rsidR="00D23F08" w:rsidRDefault="00D23F08" w:rsidP="005E43AD">
      <w:pPr>
        <w:pStyle w:val="affff2"/>
        <w:rPr>
          <w:color w:val="FF0000"/>
          <w:sz w:val="18"/>
          <w:szCs w:val="18"/>
        </w:rPr>
      </w:pPr>
    </w:p>
    <w:p w:rsidR="00D23F08" w:rsidRDefault="00D23F08" w:rsidP="005E43AD">
      <w:pPr>
        <w:pStyle w:val="affff2"/>
        <w:rPr>
          <w:color w:val="FF0000"/>
          <w:sz w:val="18"/>
          <w:szCs w:val="18"/>
        </w:rPr>
      </w:pPr>
    </w:p>
    <w:p w:rsidR="00D23F08" w:rsidRDefault="00D23F08" w:rsidP="005E43AD">
      <w:pPr>
        <w:pStyle w:val="affff2"/>
        <w:rPr>
          <w:color w:val="FF0000"/>
          <w:sz w:val="18"/>
          <w:szCs w:val="18"/>
        </w:rPr>
      </w:pPr>
    </w:p>
    <w:p w:rsidR="00D23F08" w:rsidRDefault="00D23F08" w:rsidP="005E43AD">
      <w:pPr>
        <w:pStyle w:val="affff2"/>
        <w:rPr>
          <w:color w:val="FF0000"/>
          <w:sz w:val="18"/>
          <w:szCs w:val="18"/>
        </w:rPr>
      </w:pPr>
    </w:p>
    <w:p w:rsidR="00D23F08" w:rsidRPr="007D5C23" w:rsidRDefault="00D23F08" w:rsidP="005E43AD">
      <w:pPr>
        <w:pStyle w:val="affff2"/>
        <w:rPr>
          <w:color w:val="FF0000"/>
          <w:sz w:val="18"/>
          <w:szCs w:val="18"/>
        </w:rPr>
      </w:pPr>
    </w:p>
  </w:footnote>
  <w:footnote w:id="3">
    <w:p w:rsidR="00D23F08" w:rsidRPr="00010F53" w:rsidRDefault="00D23F08"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D23F08" w:rsidRDefault="00D23F08"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08" w:rsidRDefault="00D23F08">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08" w:rsidRDefault="00D23F08">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12E3"/>
    <w:rsid w:val="000555AD"/>
    <w:rsid w:val="000560D3"/>
    <w:rsid w:val="00057D85"/>
    <w:rsid w:val="00063CEE"/>
    <w:rsid w:val="00067D0C"/>
    <w:rsid w:val="00076D03"/>
    <w:rsid w:val="00082727"/>
    <w:rsid w:val="000A70F2"/>
    <w:rsid w:val="000B4305"/>
    <w:rsid w:val="000B62D1"/>
    <w:rsid w:val="000C2A3F"/>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4195"/>
    <w:rsid w:val="00214CBE"/>
    <w:rsid w:val="00224B25"/>
    <w:rsid w:val="00227839"/>
    <w:rsid w:val="002326E8"/>
    <w:rsid w:val="00233560"/>
    <w:rsid w:val="00262D3D"/>
    <w:rsid w:val="002855D9"/>
    <w:rsid w:val="002A222D"/>
    <w:rsid w:val="002B0DE6"/>
    <w:rsid w:val="002C486E"/>
    <w:rsid w:val="002D6D95"/>
    <w:rsid w:val="002E1AFA"/>
    <w:rsid w:val="002F15C6"/>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097C"/>
    <w:rsid w:val="003F550E"/>
    <w:rsid w:val="004076E3"/>
    <w:rsid w:val="00410997"/>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1861"/>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97910"/>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512E"/>
    <w:rsid w:val="00681D03"/>
    <w:rsid w:val="006845C9"/>
    <w:rsid w:val="00686029"/>
    <w:rsid w:val="006953F6"/>
    <w:rsid w:val="0069769A"/>
    <w:rsid w:val="006A5FBF"/>
    <w:rsid w:val="006B4A3D"/>
    <w:rsid w:val="006B7486"/>
    <w:rsid w:val="006C030C"/>
    <w:rsid w:val="006C0374"/>
    <w:rsid w:val="006C047E"/>
    <w:rsid w:val="006C5806"/>
    <w:rsid w:val="006D33F9"/>
    <w:rsid w:val="006D5330"/>
    <w:rsid w:val="006D6C2D"/>
    <w:rsid w:val="006D6CB7"/>
    <w:rsid w:val="006E2146"/>
    <w:rsid w:val="006E5C3E"/>
    <w:rsid w:val="006E6EBC"/>
    <w:rsid w:val="006F4A71"/>
    <w:rsid w:val="00712E3B"/>
    <w:rsid w:val="007240CA"/>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E3E9B"/>
    <w:rsid w:val="007E40A1"/>
    <w:rsid w:val="007F385B"/>
    <w:rsid w:val="00803FD0"/>
    <w:rsid w:val="00814909"/>
    <w:rsid w:val="00814B62"/>
    <w:rsid w:val="00814ECF"/>
    <w:rsid w:val="008421A1"/>
    <w:rsid w:val="00854845"/>
    <w:rsid w:val="00856F6F"/>
    <w:rsid w:val="00863D8B"/>
    <w:rsid w:val="008800B0"/>
    <w:rsid w:val="00890123"/>
    <w:rsid w:val="00891DF7"/>
    <w:rsid w:val="008A3DE6"/>
    <w:rsid w:val="008B2087"/>
    <w:rsid w:val="008B4154"/>
    <w:rsid w:val="008B50D0"/>
    <w:rsid w:val="008C0894"/>
    <w:rsid w:val="008C4D11"/>
    <w:rsid w:val="008C5BC5"/>
    <w:rsid w:val="008C79DC"/>
    <w:rsid w:val="008D12C8"/>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A02E46"/>
    <w:rsid w:val="00A02E5E"/>
    <w:rsid w:val="00A10758"/>
    <w:rsid w:val="00A16C50"/>
    <w:rsid w:val="00A26019"/>
    <w:rsid w:val="00A610F2"/>
    <w:rsid w:val="00A63A88"/>
    <w:rsid w:val="00A76A20"/>
    <w:rsid w:val="00A77458"/>
    <w:rsid w:val="00A8242E"/>
    <w:rsid w:val="00A82871"/>
    <w:rsid w:val="00AA2DE7"/>
    <w:rsid w:val="00AA349A"/>
    <w:rsid w:val="00AA475B"/>
    <w:rsid w:val="00AD0E41"/>
    <w:rsid w:val="00AD2D19"/>
    <w:rsid w:val="00AD699E"/>
    <w:rsid w:val="00AD6DEA"/>
    <w:rsid w:val="00AD72F2"/>
    <w:rsid w:val="00AE072A"/>
    <w:rsid w:val="00AE4693"/>
    <w:rsid w:val="00AE4E40"/>
    <w:rsid w:val="00AE531D"/>
    <w:rsid w:val="00AE5B5C"/>
    <w:rsid w:val="00AF298B"/>
    <w:rsid w:val="00AF3D61"/>
    <w:rsid w:val="00AF4465"/>
    <w:rsid w:val="00AF56A3"/>
    <w:rsid w:val="00B0292D"/>
    <w:rsid w:val="00B1630E"/>
    <w:rsid w:val="00B3266F"/>
    <w:rsid w:val="00B371B6"/>
    <w:rsid w:val="00B4195A"/>
    <w:rsid w:val="00B46B5D"/>
    <w:rsid w:val="00B52BE4"/>
    <w:rsid w:val="00B606BD"/>
    <w:rsid w:val="00B65FC2"/>
    <w:rsid w:val="00B73BD9"/>
    <w:rsid w:val="00B746B4"/>
    <w:rsid w:val="00B8014C"/>
    <w:rsid w:val="00B93CA0"/>
    <w:rsid w:val="00B95D0B"/>
    <w:rsid w:val="00BA3881"/>
    <w:rsid w:val="00BA6C06"/>
    <w:rsid w:val="00BB2833"/>
    <w:rsid w:val="00BF7941"/>
    <w:rsid w:val="00C02C0D"/>
    <w:rsid w:val="00C05F6B"/>
    <w:rsid w:val="00C07B94"/>
    <w:rsid w:val="00C100BA"/>
    <w:rsid w:val="00C1783C"/>
    <w:rsid w:val="00C21436"/>
    <w:rsid w:val="00C2618B"/>
    <w:rsid w:val="00C42335"/>
    <w:rsid w:val="00C42A96"/>
    <w:rsid w:val="00C7297A"/>
    <w:rsid w:val="00C756D9"/>
    <w:rsid w:val="00C75894"/>
    <w:rsid w:val="00C77CEB"/>
    <w:rsid w:val="00C91190"/>
    <w:rsid w:val="00C92C86"/>
    <w:rsid w:val="00C94E3B"/>
    <w:rsid w:val="00C977EE"/>
    <w:rsid w:val="00CA1051"/>
    <w:rsid w:val="00CA43A5"/>
    <w:rsid w:val="00CA6AAD"/>
    <w:rsid w:val="00CA7D18"/>
    <w:rsid w:val="00CD3F00"/>
    <w:rsid w:val="00CE1F6F"/>
    <w:rsid w:val="00CF0A39"/>
    <w:rsid w:val="00D01048"/>
    <w:rsid w:val="00D0333C"/>
    <w:rsid w:val="00D07BCF"/>
    <w:rsid w:val="00D12DCE"/>
    <w:rsid w:val="00D14EFC"/>
    <w:rsid w:val="00D22A1E"/>
    <w:rsid w:val="00D23F08"/>
    <w:rsid w:val="00D334A7"/>
    <w:rsid w:val="00D33EDE"/>
    <w:rsid w:val="00D40433"/>
    <w:rsid w:val="00D52538"/>
    <w:rsid w:val="00D547A6"/>
    <w:rsid w:val="00D60063"/>
    <w:rsid w:val="00D6082A"/>
    <w:rsid w:val="00D630A8"/>
    <w:rsid w:val="00D66414"/>
    <w:rsid w:val="00D673F3"/>
    <w:rsid w:val="00D72411"/>
    <w:rsid w:val="00D96888"/>
    <w:rsid w:val="00DA02AF"/>
    <w:rsid w:val="00DA4956"/>
    <w:rsid w:val="00DB1E98"/>
    <w:rsid w:val="00DB37E1"/>
    <w:rsid w:val="00DB5FCC"/>
    <w:rsid w:val="00DE5067"/>
    <w:rsid w:val="00DE5397"/>
    <w:rsid w:val="00DF05A3"/>
    <w:rsid w:val="00DF7522"/>
    <w:rsid w:val="00E06A14"/>
    <w:rsid w:val="00E07097"/>
    <w:rsid w:val="00E13883"/>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054F1"/>
    <w:rsid w:val="00F13B81"/>
    <w:rsid w:val="00F246C7"/>
    <w:rsid w:val="00F34006"/>
    <w:rsid w:val="00F40E08"/>
    <w:rsid w:val="00F51747"/>
    <w:rsid w:val="00F5694D"/>
    <w:rsid w:val="00F636F9"/>
    <w:rsid w:val="00F71A7C"/>
    <w:rsid w:val="00F8056E"/>
    <w:rsid w:val="00F80E60"/>
    <w:rsid w:val="00F8141D"/>
    <w:rsid w:val="00F9096D"/>
    <w:rsid w:val="00F93305"/>
    <w:rsid w:val="00F94A77"/>
    <w:rsid w:val="00F95EB4"/>
    <w:rsid w:val="00F972C3"/>
    <w:rsid w:val="00FA234F"/>
    <w:rsid w:val="00FB4F6B"/>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881256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5958712">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DB00-07FB-4A9D-8599-57F85FAE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1</Pages>
  <Words>13712</Words>
  <Characters>78159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200</cp:revision>
  <cp:lastPrinted>2023-01-12T06:40:00Z</cp:lastPrinted>
  <dcterms:created xsi:type="dcterms:W3CDTF">2022-03-22T11:13:00Z</dcterms:created>
  <dcterms:modified xsi:type="dcterms:W3CDTF">2023-05-09T11:37:00Z</dcterms:modified>
</cp:coreProperties>
</file>