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5" w:rsidRPr="00204EE8" w:rsidRDefault="005F5145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204EE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2D105C" w:rsidRPr="00E152B5" w:rsidRDefault="002D105C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DF6FB7" w:rsidRDefault="00DF6FB7" w:rsidP="00266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6BEA" w:rsidRDefault="00D442F7" w:rsidP="00266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 до</w:t>
      </w:r>
      <w:r w:rsidR="00C83E52">
        <w:rPr>
          <w:rFonts w:ascii="Times New Roman" w:hAnsi="Times New Roman"/>
          <w:b/>
          <w:sz w:val="24"/>
          <w:szCs w:val="24"/>
        </w:rPr>
        <w:t xml:space="preserve"> тест-систем діагностичних </w:t>
      </w:r>
      <w:r w:rsidR="001E5A4F">
        <w:rPr>
          <w:rFonts w:ascii="Times New Roman" w:hAnsi="Times New Roman"/>
          <w:b/>
          <w:sz w:val="24"/>
          <w:szCs w:val="24"/>
        </w:rPr>
        <w:t xml:space="preserve">згідно </w:t>
      </w:r>
      <w:r w:rsidR="00C83E52" w:rsidRPr="00C83E52">
        <w:rPr>
          <w:rFonts w:ascii="Times New Roman" w:hAnsi="Times New Roman"/>
          <w:b/>
          <w:sz w:val="24"/>
          <w:szCs w:val="24"/>
        </w:rPr>
        <w:t>ДК 021:2015 - 33120000-7- Системи реєстрації медичної інформації та дослідне обладнання (тест-системи діагностичні)</w:t>
      </w:r>
    </w:p>
    <w:tbl>
      <w:tblPr>
        <w:tblW w:w="107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701"/>
        <w:gridCol w:w="3685"/>
        <w:gridCol w:w="851"/>
        <w:gridCol w:w="992"/>
        <w:gridCol w:w="1417"/>
      </w:tblGrid>
      <w:tr w:rsidR="00194F1E" w:rsidTr="002E6F7E">
        <w:trPr>
          <w:cantSplit/>
          <w:trHeight w:val="116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FF" w:rsidRDefault="00194F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194F1E" w:rsidRPr="009523FF" w:rsidRDefault="00194F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</w:rPr>
              <w:t>НК 024:2023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523FF" w:rsidRDefault="00194F1E" w:rsidP="00D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</w:rPr>
              <w:t xml:space="preserve">Медико – технічні характеристики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Кіль</w:t>
            </w:r>
            <w:r w:rsidRPr="009523F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E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Од. </w:t>
            </w:r>
          </w:p>
          <w:p w:rsidR="00194F1E" w:rsidRPr="009523FF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виміру</w:t>
            </w:r>
          </w:p>
          <w:p w:rsidR="00194F1E" w:rsidRPr="009523FF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E" w:rsidRPr="009523FF" w:rsidRDefault="00433BB8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3BB8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Відповідність так/ні, з обов’язковим посиланням на сторінку з технічної документації</w:t>
            </w:r>
          </w:p>
        </w:tc>
      </w:tr>
      <w:tr w:rsidR="001E5A4F" w:rsidRPr="001E5A4F" w:rsidTr="002E6F7E">
        <w:trPr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Тропоніну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W203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54010-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Тропонін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IVD (діагностика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флюоресцентний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імуноаналіз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кількісної експрес-діагностики методом флуоресцентного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 w:rsid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6FB" w:rsidRDefault="007D46FB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cTnl</w:t>
            </w:r>
            <w:proofErr w:type="spellEnd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0.1 - 50 </w:t>
            </w:r>
            <w:proofErr w:type="spellStart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 w:rsid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C83E52" w:rsidRDefault="00D74113" w:rsidP="001E5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C83E52" w:rsidRDefault="00D74113" w:rsidP="001E5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2E6F7E">
        <w:trPr>
          <w:trHeight w:val="2028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Трийодтироніну</w:t>
            </w:r>
            <w:proofErr w:type="spellEnd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(Т3) W231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63082-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Загальний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трийодотиронін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(TT3)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комплект,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імуноаналізу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vitro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аналітичній системі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Finecare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FIA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619E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Діапазон тестування:</w:t>
            </w:r>
            <w:r>
              <w:t xml:space="preserve">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0,61 – 9,22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нмоль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 проби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2E6F7E">
        <w:trPr>
          <w:trHeight w:val="211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Тироксину вільного (fТ4) W259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63071- 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Вільний тироксин (FT4)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комплект,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1-100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пмоль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15619E" w:rsidRDefault="0015619E" w:rsidP="0015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783C01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Тиреотропног</w:t>
            </w: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гормону (ТТГ) W220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54384-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Тиреоїдний гормон (ТТГ)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набір,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– 100,00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783C01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(HbA1c)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Глікованого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гемоглобіну W207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61010 -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Глікозильований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гемоглобін (HbA1c)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імунохемілюмінесцентний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4.0-14.5%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цільна кров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Простатичного специфічного антигену W209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54666 -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Загальний простатичний специфічний антиген (ПСА)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2 - 100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ПролактинуW246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58765 -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Пролактин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/мл - 200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D-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дімеру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61389 -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D-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димер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– 10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C581C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прокальцитоніну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DC58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54313-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Прокальцитон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ін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E803FD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0.1-100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С-реактивного білка W201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58768 - 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С-реактивний білок (СРБ)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— 200 мг/л </w:t>
            </w:r>
          </w:p>
          <w:p w:rsidR="00D74113" w:rsidRPr="00AD3DE9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2E6F7E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Ферритину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58769 -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Феритин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5-1000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AD3DE9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C581C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Креатинкінази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 W205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2914B4" w:rsidP="00DC58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61385 —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Креатинкіназа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ізофермента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міокарду IVD (діагностика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набір,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CK-MB: 0.3 - 100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D74113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AD3DE9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A127C" w:rsidRPr="00DC581C" w:rsidRDefault="00194F1E" w:rsidP="008A127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8A127C" w:rsidRPr="00DC581C">
        <w:rPr>
          <w:rFonts w:ascii="Times New Roman" w:eastAsia="Andale Sans UI" w:hAnsi="Times New Roman" w:cs="Times New Roman"/>
          <w:b/>
          <w:bCs/>
          <w:color w:val="222222"/>
          <w:kern w:val="2"/>
          <w:sz w:val="24"/>
          <w:szCs w:val="24"/>
        </w:rPr>
        <w:t>ЗАГАЛЬНІ ВИМОГИ:</w:t>
      </w:r>
    </w:p>
    <w:p w:rsidR="00CD3E33" w:rsidRPr="00DC581C" w:rsidRDefault="00CD3E33" w:rsidP="00CD3E33">
      <w:pPr>
        <w:numPr>
          <w:ilvl w:val="0"/>
          <w:numId w:val="15"/>
        </w:num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CD3E33" w:rsidRPr="00DC581C" w:rsidRDefault="00CD3E33" w:rsidP="00CD3E33">
      <w:p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-91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 з урахуванням вимог постанови Кабінету Міністрів України від 02.10.2013 №754 «Про затвердження Технічного регламенту щодо медичних виробів для діагностики </w:t>
      </w:r>
      <w:proofErr w:type="spellStart"/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invitro</w:t>
      </w:r>
      <w:proofErr w:type="spellEnd"/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».</w:t>
      </w:r>
    </w:p>
    <w:p w:rsidR="00CD3E33" w:rsidRPr="00DC581C" w:rsidRDefault="00CD3E33" w:rsidP="00CD3E33">
      <w:pPr>
        <w:numPr>
          <w:ilvl w:val="0"/>
          <w:numId w:val="15"/>
        </w:num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/>
          <w:sz w:val="24"/>
          <w:szCs w:val="24"/>
          <w:lang w:eastAsia="uk-UA"/>
        </w:rPr>
        <w:t>Надати копію інструкці</w:t>
      </w:r>
      <w:r w:rsidR="00433BB8">
        <w:rPr>
          <w:rFonts w:ascii="Times New Roman" w:eastAsia="Times New Roman" w:hAnsi="Times New Roman"/>
          <w:sz w:val="24"/>
          <w:szCs w:val="24"/>
          <w:lang w:eastAsia="uk-UA"/>
        </w:rPr>
        <w:t>й</w:t>
      </w:r>
      <w:bookmarkStart w:id="0" w:name="_GoBack"/>
      <w:bookmarkEnd w:id="0"/>
      <w:r w:rsidRPr="00DC581C">
        <w:rPr>
          <w:rFonts w:ascii="Times New Roman" w:eastAsia="Times New Roman" w:hAnsi="Times New Roman"/>
          <w:sz w:val="24"/>
          <w:szCs w:val="24"/>
          <w:lang w:eastAsia="uk-UA"/>
        </w:rPr>
        <w:t xml:space="preserve"> на українській мові.</w:t>
      </w:r>
    </w:p>
    <w:p w:rsidR="008A127C" w:rsidRPr="00DC581C" w:rsidRDefault="00CD3E33" w:rsidP="009523FF">
      <w:pPr>
        <w:shd w:val="clear" w:color="auto" w:fill="FFFFFF"/>
        <w:spacing w:after="0" w:line="240" w:lineRule="auto"/>
        <w:ind w:left="-1276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lastRenderedPageBreak/>
        <w:t>3</w:t>
      </w:r>
      <w:r w:rsidR="008A127C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  <w:r w:rsidR="008A127C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З метою запобігання закупівлі фальсифікатів та отримання гарантій на своєчасне постачання товару у кількості та якості, яких вимагає ця документація, Учасник повинен надати </w:t>
      </w:r>
      <w:r w:rsidR="00CA4420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копії</w:t>
      </w:r>
      <w:r w:rsidR="008A127C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гарантійних листів виробників або їх офіційних представників (якщо їх повноваження поширюються на територію 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виробника повинен містити посилання на повну назву Учасника, номер оголошення.</w:t>
      </w:r>
    </w:p>
    <w:p w:rsidR="00204EE8" w:rsidRPr="00DC581C" w:rsidRDefault="00CD3E33" w:rsidP="00204EE8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4</w:t>
      </w:r>
      <w:r w:rsidR="00204EE8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. </w:t>
      </w:r>
      <w:r w:rsidR="00204EE8" w:rsidRPr="00DC58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>Остаточний термін придатності на момент поставки товару повинен бути не менше 80% від загального терміну придатності. (надання гарантійного листа Учасника).</w:t>
      </w:r>
      <w:r w:rsidR="002011AD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 </w:t>
      </w:r>
    </w:p>
    <w:p w:rsidR="002011AD" w:rsidRPr="00DC581C" w:rsidRDefault="00204EE8" w:rsidP="00204EE8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                                                          </w:t>
      </w:r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</w:rPr>
        <w:t>Інформування щодо еквівалентності: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*  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DC581C">
        <w:rPr>
          <w:rFonts w:ascii="Times New Roman" w:eastAsia="Times New Roman" w:hAnsi="Times New Roman" w:cs="Times New Roman"/>
          <w:b/>
          <w:sz w:val="24"/>
          <w:szCs w:val="24"/>
        </w:rPr>
        <w:t>«або еквівалент».</w:t>
      </w: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 У разі подачі еквіваленту товару, учасник подає порівняльну характеристику запропонованого ним товару та товару, що визначений в медико-технічних вимогах з відомостями щодо відповідності вимогам замовника.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bCs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 у наступній формі: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1AD" w:rsidRPr="00DC581C" w:rsidRDefault="009523FF" w:rsidP="009523FF">
      <w:pPr>
        <w:spacing w:after="0" w:line="240" w:lineRule="auto"/>
        <w:ind w:left="-284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Довідка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яка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підтверджує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еквівалентність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1701"/>
        <w:gridCol w:w="3260"/>
        <w:gridCol w:w="1985"/>
      </w:tblGrid>
      <w:tr w:rsidR="002011AD" w:rsidRPr="00DC581C" w:rsidTr="00951EE6">
        <w:trPr>
          <w:trHeight w:val="5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FF" w:rsidRPr="00DC581C" w:rsidRDefault="002011AD" w:rsidP="00B84AB1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 відповідно до</w:t>
            </w:r>
          </w:p>
          <w:p w:rsidR="002011AD" w:rsidRPr="00DC581C" w:rsidRDefault="002011AD" w:rsidP="00B84AB1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FF" w:rsidRPr="00DC581C" w:rsidRDefault="002011AD" w:rsidP="009523FF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запропонованого товару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у тендерній пропозиції</w:t>
            </w:r>
          </w:p>
        </w:tc>
      </w:tr>
      <w:tr w:rsidR="002011AD" w:rsidRPr="00DC581C" w:rsidTr="00951EE6">
        <w:trPr>
          <w:trHeight w:val="86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C581C" w:rsidRDefault="002011AD" w:rsidP="00B84AB1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Торгівельна назва,</w:t>
            </w:r>
          </w:p>
          <w:p w:rsidR="002011AD" w:rsidRPr="00DC581C" w:rsidRDefault="002011AD" w:rsidP="00B84AB1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випуску, дозування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6F1BD2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Торгівельна назва,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випуску, дозування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2011AD" w:rsidRPr="00DC581C" w:rsidTr="00951EE6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Датовано: «____» ________________ 20___ року 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iCs/>
          <w:sz w:val="24"/>
          <w:szCs w:val="24"/>
        </w:rPr>
        <w:t>Посада, прізвище, ініціали, підпис уповноваженої особи учасника або П.І.Б. та підпис учасника-фізичної особи.</w:t>
      </w:r>
    </w:p>
    <w:p w:rsidR="002011AD" w:rsidRPr="00555656" w:rsidRDefault="002011AD" w:rsidP="009523FF">
      <w:pPr>
        <w:spacing w:after="0" w:line="240" w:lineRule="auto"/>
        <w:ind w:left="-284" w:hanging="851"/>
        <w:jc w:val="right"/>
        <w:rPr>
          <w:rFonts w:ascii="Times New Roman CYR" w:eastAsia="Times New Roman" w:hAnsi="Times New Roman CYR" w:cs="Times New Roman CYR"/>
          <w:b/>
          <w:sz w:val="23"/>
          <w:szCs w:val="23"/>
          <w:lang w:eastAsia="zh-CN"/>
        </w:rPr>
      </w:pPr>
    </w:p>
    <w:sectPr w:rsidR="002011AD" w:rsidRPr="0055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B0101"/>
    <w:multiLevelType w:val="multilevel"/>
    <w:tmpl w:val="4DE6D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DC"/>
    <w:multiLevelType w:val="multilevel"/>
    <w:tmpl w:val="C88C3E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3971"/>
    <w:multiLevelType w:val="multilevel"/>
    <w:tmpl w:val="E9480A9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3A7"/>
    <w:multiLevelType w:val="multilevel"/>
    <w:tmpl w:val="BC1C390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5D183649"/>
    <w:multiLevelType w:val="hybridMultilevel"/>
    <w:tmpl w:val="A8F8BF12"/>
    <w:lvl w:ilvl="0" w:tplc="135E69C2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 w15:restartNumberingAfterBreak="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5"/>
    <w:rsid w:val="00054F97"/>
    <w:rsid w:val="00091018"/>
    <w:rsid w:val="000E3D8E"/>
    <w:rsid w:val="00103D47"/>
    <w:rsid w:val="0015619E"/>
    <w:rsid w:val="00194F1E"/>
    <w:rsid w:val="001C07DB"/>
    <w:rsid w:val="001E5A4F"/>
    <w:rsid w:val="002011AD"/>
    <w:rsid w:val="00204EE8"/>
    <w:rsid w:val="00266BEA"/>
    <w:rsid w:val="002914B4"/>
    <w:rsid w:val="002A36E0"/>
    <w:rsid w:val="002A39EA"/>
    <w:rsid w:val="002A524A"/>
    <w:rsid w:val="002D105C"/>
    <w:rsid w:val="002E6F7E"/>
    <w:rsid w:val="003819F7"/>
    <w:rsid w:val="003B3932"/>
    <w:rsid w:val="00433BB8"/>
    <w:rsid w:val="00450FC1"/>
    <w:rsid w:val="00491986"/>
    <w:rsid w:val="0049481E"/>
    <w:rsid w:val="00503CE5"/>
    <w:rsid w:val="0053271D"/>
    <w:rsid w:val="00555656"/>
    <w:rsid w:val="00583E52"/>
    <w:rsid w:val="005D5C18"/>
    <w:rsid w:val="005F5145"/>
    <w:rsid w:val="006054EF"/>
    <w:rsid w:val="0068420E"/>
    <w:rsid w:val="006B5344"/>
    <w:rsid w:val="006F1BD2"/>
    <w:rsid w:val="006F6071"/>
    <w:rsid w:val="007413C4"/>
    <w:rsid w:val="00783C01"/>
    <w:rsid w:val="00785099"/>
    <w:rsid w:val="007B2234"/>
    <w:rsid w:val="007D46FB"/>
    <w:rsid w:val="007E542B"/>
    <w:rsid w:val="0086250C"/>
    <w:rsid w:val="008A127C"/>
    <w:rsid w:val="008C240D"/>
    <w:rsid w:val="009057B6"/>
    <w:rsid w:val="00932E6B"/>
    <w:rsid w:val="00951EE6"/>
    <w:rsid w:val="009523FF"/>
    <w:rsid w:val="0097666F"/>
    <w:rsid w:val="00A722ED"/>
    <w:rsid w:val="00A82502"/>
    <w:rsid w:val="00A97904"/>
    <w:rsid w:val="00AA54E4"/>
    <w:rsid w:val="00AD3DE9"/>
    <w:rsid w:val="00B42F00"/>
    <w:rsid w:val="00B65B61"/>
    <w:rsid w:val="00B65E57"/>
    <w:rsid w:val="00B714C4"/>
    <w:rsid w:val="00B84AB1"/>
    <w:rsid w:val="00BC13F5"/>
    <w:rsid w:val="00C71040"/>
    <w:rsid w:val="00C83E52"/>
    <w:rsid w:val="00C91195"/>
    <w:rsid w:val="00CA4420"/>
    <w:rsid w:val="00CA5367"/>
    <w:rsid w:val="00CB3AED"/>
    <w:rsid w:val="00CB5924"/>
    <w:rsid w:val="00CD3E33"/>
    <w:rsid w:val="00D442F7"/>
    <w:rsid w:val="00D74113"/>
    <w:rsid w:val="00DC581C"/>
    <w:rsid w:val="00DF6FB7"/>
    <w:rsid w:val="00E25B79"/>
    <w:rsid w:val="00E313FE"/>
    <w:rsid w:val="00E324B9"/>
    <w:rsid w:val="00E803FD"/>
    <w:rsid w:val="00EA310E"/>
    <w:rsid w:val="00F02F31"/>
    <w:rsid w:val="00FD0990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9E8"/>
  <w15:chartTrackingRefBased/>
  <w15:docId w15:val="{388C9999-36E1-4FA0-A61F-2F954A2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45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41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3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C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3C4"/>
    <w:rPr>
      <w:rFonts w:ascii="Calibri" w:eastAsia="Calibri" w:hAnsi="Calibri" w:cs="Calibri"/>
      <w:b/>
      <w:sz w:val="36"/>
      <w:szCs w:val="36"/>
      <w:lang w:val="uk-UA" w:eastAsia="ru-RU"/>
    </w:rPr>
  </w:style>
  <w:style w:type="table" w:styleId="a3">
    <w:name w:val="Table Grid"/>
    <w:basedOn w:val="a1"/>
    <w:uiPriority w:val="39"/>
    <w:rsid w:val="005F514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2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3C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3C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13C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13C4"/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a6">
    <w:name w:val="Title"/>
    <w:basedOn w:val="a"/>
    <w:next w:val="a"/>
    <w:link w:val="a7"/>
    <w:uiPriority w:val="10"/>
    <w:qFormat/>
    <w:rsid w:val="007413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7413C4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8">
    <w:name w:val="List Paragraph"/>
    <w:basedOn w:val="a"/>
    <w:uiPriority w:val="34"/>
    <w:qFormat/>
    <w:rsid w:val="007413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13C4"/>
    <w:rPr>
      <w:color w:val="0563C1" w:themeColor="hyperlink"/>
      <w:u w:val="single"/>
    </w:rPr>
  </w:style>
  <w:style w:type="paragraph" w:styleId="aa">
    <w:name w:val="Normal (Web)"/>
    <w:basedOn w:val="a"/>
    <w:uiPriority w:val="99"/>
    <w:qFormat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7413C4"/>
    <w:rPr>
      <w:rFonts w:cs="Times New Roman"/>
    </w:rPr>
  </w:style>
  <w:style w:type="paragraph" w:customStyle="1" w:styleId="tj">
    <w:name w:val="tj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413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rsid w:val="007413C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d">
    <w:name w:val="TOC Heading"/>
    <w:basedOn w:val="1"/>
    <w:next w:val="a"/>
    <w:semiHidden/>
    <w:unhideWhenUsed/>
    <w:qFormat/>
    <w:rsid w:val="00D442F7"/>
    <w:pPr>
      <w:suppressAutoHyphens/>
      <w:spacing w:after="0" w:line="276" w:lineRule="auto"/>
    </w:pPr>
    <w:rPr>
      <w:rFonts w:ascii="Cambria" w:eastAsia="Times New Roman" w:hAnsi="Cambria" w:cs="Times New Roman"/>
      <w:bCs/>
      <w:color w:val="365F91"/>
      <w:kern w:val="2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7650-5758-4800-BAEA-2A3FC45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2024-04-15T10:48:00Z</cp:lastPrinted>
  <dcterms:created xsi:type="dcterms:W3CDTF">2023-11-07T10:43:00Z</dcterms:created>
  <dcterms:modified xsi:type="dcterms:W3CDTF">2024-04-15T11:03:00Z</dcterms:modified>
</cp:coreProperties>
</file>