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30" w:rsidRDefault="00A30030" w:rsidP="00A300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Додаток 5 </w:t>
      </w:r>
    </w:p>
    <w:p w:rsidR="00A30030" w:rsidRPr="00A30030" w:rsidRDefault="00A30030" w:rsidP="00A30030">
      <w:pPr>
        <w:tabs>
          <w:tab w:val="left" w:pos="0"/>
          <w:tab w:val="left" w:pos="142"/>
          <w:tab w:val="left" w:pos="284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</w:p>
    <w:p w:rsidR="00A44023" w:rsidRDefault="00A44023" w:rsidP="00A3003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2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 документів та інформації  для підтвердження відповідності УЧАСНИКА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ПЕРЕМОЖЦЯ</w:t>
      </w:r>
      <w:r w:rsidRPr="00A32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вимогам, визначеним у статті 17 Закону “Про публічні закупівлі”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(далі – Закон)</w:t>
      </w:r>
    </w:p>
    <w:p w:rsidR="00A30030" w:rsidRPr="00DC408C" w:rsidRDefault="00A30030" w:rsidP="00A4402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44023" w:rsidRPr="003966CF" w:rsidTr="001337F8">
        <w:tc>
          <w:tcPr>
            <w:tcW w:w="9747" w:type="dxa"/>
          </w:tcPr>
          <w:p w:rsidR="00A44023" w:rsidRPr="008A117B" w:rsidRDefault="00A44023" w:rsidP="00F9305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8A1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имоги до учасників процедури закупівлі</w:t>
            </w:r>
          </w:p>
          <w:p w:rsidR="00A44023" w:rsidRPr="008A117B" w:rsidRDefault="00A44023" w:rsidP="00F93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217" w:rsidRPr="00A337A0" w:rsidRDefault="00362217" w:rsidP="003622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C4F7C">
              <w:rPr>
                <w:rFonts w:ascii="Times New Roman" w:hAnsi="Times New Roman"/>
                <w:b/>
                <w:sz w:val="24"/>
                <w:szCs w:val="24"/>
              </w:rPr>
              <w:t xml:space="preserve">ля </w:t>
            </w:r>
            <w:r w:rsidRPr="00A337A0">
              <w:rPr>
                <w:rFonts w:ascii="Times New Roman" w:hAnsi="Times New Roman"/>
                <w:b/>
                <w:sz w:val="24"/>
                <w:szCs w:val="24"/>
              </w:rPr>
              <w:t>юридичних осіб, фізичних осіб та фізичних осіб-підприємців</w:t>
            </w:r>
            <w:r w:rsidRPr="009C4F7C">
              <w:rPr>
                <w:rFonts w:ascii="Times New Roman" w:hAnsi="Times New Roman"/>
                <w:b/>
                <w:sz w:val="24"/>
                <w:szCs w:val="24"/>
              </w:rPr>
              <w:t xml:space="preserve"> на підтвердження відповідності </w:t>
            </w:r>
            <w:r w:rsidRPr="00362217">
              <w:rPr>
                <w:rFonts w:ascii="Times New Roman" w:hAnsi="Times New Roman"/>
                <w:b/>
                <w:sz w:val="24"/>
                <w:szCs w:val="24"/>
              </w:rPr>
              <w:t>учасника процедури закупівлі</w:t>
            </w:r>
            <w:r w:rsidRPr="009C4F7C">
              <w:rPr>
                <w:rFonts w:ascii="Times New Roman" w:hAnsi="Times New Roman"/>
                <w:b/>
                <w:sz w:val="24"/>
                <w:szCs w:val="24"/>
              </w:rPr>
              <w:t xml:space="preserve"> вимогам,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F7C">
              <w:rPr>
                <w:rFonts w:ascii="Times New Roman" w:hAnsi="Times New Roman"/>
                <w:b/>
                <w:sz w:val="24"/>
                <w:szCs w:val="24"/>
              </w:rPr>
              <w:t xml:space="preserve">встановленим статтею 17 Закону </w:t>
            </w:r>
            <w:r w:rsidRPr="00A337A0">
              <w:rPr>
                <w:rFonts w:ascii="Times New Roman" w:hAnsi="Times New Roman"/>
                <w:sz w:val="24"/>
                <w:szCs w:val="24"/>
              </w:rPr>
              <w:t>(Закону України «Про публічні закупівлі» (далі - Закон)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337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2217" w:rsidRPr="0010082D" w:rsidRDefault="00362217" w:rsidP="003622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82D">
              <w:rPr>
                <w:rFonts w:ascii="Times New Roman" w:hAnsi="Times New Roman"/>
                <w:sz w:val="24"/>
                <w:szCs w:val="24"/>
              </w:rPr>
              <w:t>Учасник процедури закупівлі в електронній системі закупівель під час подання тендерної пропозиції підтверджує відсутність підст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ав, передбачених пунктами 5, 6, </w:t>
            </w:r>
            <w:r w:rsidRPr="0010082D">
              <w:rPr>
                <w:rFonts w:ascii="Times New Roman" w:hAnsi="Times New Roman"/>
                <w:sz w:val="24"/>
                <w:szCs w:val="24"/>
              </w:rPr>
              <w:t>12 і 13 частини першої та частиною другою статті 17 Закону у вигляді довідок (</w:t>
            </w:r>
            <w:r w:rsidRPr="001D76C2">
              <w:rPr>
                <w:rFonts w:ascii="Times New Roman" w:hAnsi="Times New Roman"/>
                <w:i/>
                <w:sz w:val="24"/>
                <w:szCs w:val="24"/>
              </w:rPr>
              <w:t>зведеної довідки, тощо</w:t>
            </w:r>
            <w:r w:rsidRPr="0010082D">
              <w:rPr>
                <w:rFonts w:ascii="Times New Roman" w:hAnsi="Times New Roman"/>
                <w:sz w:val="24"/>
                <w:szCs w:val="24"/>
              </w:rPr>
              <w:t>), складених учасником у довільній формі, зміст яких підтверджує відсутність відповідних підстав для відмови в участі у процедурі закупівлі.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Учасник надає 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договору.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  <w:p w:rsidR="00A44023" w:rsidRDefault="00A44023" w:rsidP="00F93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023" w:rsidRPr="00DC408C" w:rsidRDefault="00A44023" w:rsidP="00A44023">
      <w:pPr>
        <w:tabs>
          <w:tab w:val="center" w:pos="4960"/>
          <w:tab w:val="right" w:pos="9920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44023" w:rsidRPr="005149A8" w:rsidRDefault="00A44023" w:rsidP="00A440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9A8">
        <w:rPr>
          <w:rFonts w:ascii="Times New Roman" w:hAnsi="Times New Roman" w:cs="Times New Roman"/>
          <w:b/>
          <w:bCs/>
          <w:sz w:val="24"/>
          <w:szCs w:val="24"/>
        </w:rPr>
        <w:t>Документи та інформація, які надаються переможцем процедури закупі</w:t>
      </w:r>
      <w:proofErr w:type="gramStart"/>
      <w:r w:rsidRPr="005149A8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5149A8">
        <w:rPr>
          <w:rFonts w:ascii="Times New Roman" w:hAnsi="Times New Roman" w:cs="Times New Roman"/>
          <w:b/>
          <w:bCs/>
          <w:sz w:val="24"/>
          <w:szCs w:val="24"/>
        </w:rPr>
        <w:t>і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0"/>
        <w:gridCol w:w="1761"/>
        <w:gridCol w:w="3792"/>
        <w:gridCol w:w="3663"/>
      </w:tblGrid>
      <w:tr w:rsidR="00A44023" w:rsidRPr="005149A8" w:rsidTr="00362217">
        <w:tc>
          <w:tcPr>
            <w:tcW w:w="503" w:type="dxa"/>
            <w:vAlign w:val="center"/>
          </w:tcPr>
          <w:p w:rsidR="00A44023" w:rsidRPr="005149A8" w:rsidRDefault="00A44023" w:rsidP="00F93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72" w:type="dxa"/>
            <w:vAlign w:val="center"/>
          </w:tcPr>
          <w:p w:rsidR="00A44023" w:rsidRPr="005149A8" w:rsidRDefault="00A44023" w:rsidP="00F93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Закону</w:t>
            </w:r>
          </w:p>
        </w:tc>
        <w:tc>
          <w:tcPr>
            <w:tcW w:w="3819" w:type="dxa"/>
            <w:vAlign w:val="center"/>
          </w:tcPr>
          <w:p w:rsidR="00A44023" w:rsidRPr="005149A8" w:rsidRDefault="00A44023" w:rsidP="00F93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Підстави для відмови в участі у процедурі закупівлі</w:t>
            </w:r>
          </w:p>
          <w:p w:rsidR="00A44023" w:rsidRPr="005149A8" w:rsidRDefault="00A44023" w:rsidP="00E00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A44023" w:rsidRPr="005149A8" w:rsidRDefault="00A44023" w:rsidP="00F93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Переможець у строк, що не перевищує десяти днів з дати оприлюднення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A44023" w:rsidRPr="005149A8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пункт 1 частини 1</w:t>
            </w:r>
            <w:r w:rsidR="00E003B3"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статті 17 Закону</w:t>
            </w:r>
          </w:p>
        </w:tc>
        <w:tc>
          <w:tcPr>
            <w:tcW w:w="3819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</w:t>
            </w: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A44023" w:rsidRPr="003966CF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пункт 2 частини 1 статті 17 Закону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перевіряє інформацію самостійно. 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У разі, якщо на дату подання документів переможця Єдиний державний реєстр осіб, які вчинили корупційні або пов’язані з корупцією правопорушення</w:t>
            </w:r>
            <w:r w:rsidR="001337F8"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не працює, переможець процедури закупівлі має надати довідку в довільній формі або гарантійний лист  про те, </w:t>
            </w: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що </w:t>
            </w: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44023" w:rsidRPr="003966CF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пункт 3 частини 1 статті 17 Закону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перевіряє інформацію самостійно. 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У разі, якщо на дату подання документів переможця Єдиний державний реєстр осіб, які вчинили корупційні або пов’язані з корупцією правопорушення</w:t>
            </w:r>
            <w:r w:rsidR="001337F8"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не працює, переможець процедури закупівлі має надати довідку в довільній формі або гарантійний лист  про те, що </w:t>
            </w: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A44023" w:rsidRPr="005149A8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пункт 5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частини 1 статті 17 Закону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фізична особа, яка є учасником </w:t>
            </w: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Переможець процедури закупівлі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</w:t>
            </w:r>
            <w:r w:rsidR="00E003B3"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до кримінальної відповідальності не притягується, </w:t>
            </w:r>
            <w:proofErr w:type="spellStart"/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незнятої</w:t>
            </w:r>
            <w:proofErr w:type="spellEnd"/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чи непогашеної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судимості не має та в розшуку не перебуває.</w:t>
            </w:r>
          </w:p>
        </w:tc>
      </w:tr>
      <w:tr w:rsidR="00A44023" w:rsidRPr="003966CF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пункт 6 частини 1 статті 17 Закону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Переможець процедури закупівлі має надати повний</w:t>
            </w:r>
            <w:r w:rsidR="00E003B3"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закупівлі, яка підписала тендерну пропозицію</w:t>
            </w:r>
            <w:r w:rsidR="009F09B7"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до кримінальної</w:t>
            </w:r>
            <w:r w:rsidR="009F09B7"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відповідальності не притягується,</w:t>
            </w:r>
            <w:r w:rsidR="009F09B7"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незнятої</w:t>
            </w:r>
            <w:proofErr w:type="spellEnd"/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чи непогашеної</w:t>
            </w:r>
            <w:r w:rsidR="009F09B7"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судимості не має та в розшуку не перебуває.</w:t>
            </w:r>
          </w:p>
        </w:tc>
      </w:tr>
      <w:tr w:rsidR="00A44023" w:rsidRPr="003966CF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3" w:rsidRPr="005149A8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пункт 8 частини 1 статті 17 Закону</w:t>
            </w:r>
          </w:p>
        </w:tc>
        <w:tc>
          <w:tcPr>
            <w:tcW w:w="3819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перевіряє інформацію самостійно. 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дату подання документів переможця Єдиний реєстр підприємств, щодо яких порушено провадження у справі про банкрутство не працює, переможець процедури закупівлі має надати довідку в довільній формі або гарантійний лист  про те, </w:t>
            </w: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що </w:t>
            </w: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A44023" w:rsidRPr="005149A8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5149A8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пункт 12 частини 1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 статті 17 Закону</w:t>
            </w:r>
          </w:p>
        </w:tc>
        <w:tc>
          <w:tcPr>
            <w:tcW w:w="3819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</w:t>
            </w: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 / фізичну особу, яка є учасником до кримінальної відповідальності не притягується, не знятої чи непогашеної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судимості не має та в розшуку не перебуває.</w:t>
            </w:r>
          </w:p>
        </w:tc>
      </w:tr>
      <w:tr w:rsidR="00A44023" w:rsidRPr="003966CF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пункт 13 частини 1 статті 17 Закону</w:t>
            </w:r>
          </w:p>
        </w:tc>
        <w:tc>
          <w:tcPr>
            <w:tcW w:w="3819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Замовник перевіряє інформацію самостійно в електронній системі закупівель.</w:t>
            </w:r>
          </w:p>
          <w:p w:rsidR="00A44023" w:rsidRPr="00183A84" w:rsidRDefault="00183A84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випадку  якщо учасник-переможець має заборгованість із сплати податків і зборів (обов’язкових платежів), але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учасника-переможця, </w:t>
            </w:r>
            <w:r w:rsidRPr="003966CF">
              <w:rPr>
                <w:rFonts w:ascii="Times New Roman" w:hAnsi="Times New Roman"/>
                <w:color w:val="000000"/>
                <w:sz w:val="24"/>
                <w:szCs w:val="24"/>
              </w:rPr>
              <w:t>він надає документ</w:t>
            </w:r>
            <w:r w:rsidRPr="00183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розстрочення/ відстрочення такої заборгованості виданий відповідним органом.</w:t>
            </w:r>
          </w:p>
          <w:p w:rsidR="00A44023" w:rsidRPr="005149A8" w:rsidRDefault="00A44023" w:rsidP="0018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 xml:space="preserve">Переможець щодо якого буде сформовано довідку (квитанцію) про наявність заборгованості із сплати податків і зборів (обов’язкових платежів), може надати довідку з податкової служби про відсутність податкової заборгованості, сформовану  більш пізньою датою та/або часом. </w:t>
            </w:r>
            <w:r w:rsidRPr="00183A84">
              <w:rPr>
                <w:rFonts w:ascii="Times New Roman" w:hAnsi="Times New Roman" w:cs="Times New Roman"/>
                <w:sz w:val="24"/>
                <w:szCs w:val="24"/>
              </w:rPr>
              <w:t>У випадку якщо в електронній системі закупівель не сформовано довідку (квитанцію) про наявність/відсутність заборгованості із сплати податків і зборів (обов’язкових платежів), переможець надає довідку про наявність/відсутність заборгованості із сплати податків і зборів (обов’язкових платежів), видану уповноваженим на це органом, що діє станом на дату  подання документа.</w:t>
            </w:r>
          </w:p>
        </w:tc>
      </w:tr>
      <w:tr w:rsidR="00A44023" w:rsidRPr="003966CF" w:rsidTr="00362217">
        <w:tc>
          <w:tcPr>
            <w:tcW w:w="503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частина 2 статті 17 Закону</w:t>
            </w:r>
          </w:p>
        </w:tc>
        <w:tc>
          <w:tcPr>
            <w:tcW w:w="3819" w:type="dxa"/>
          </w:tcPr>
          <w:p w:rsidR="00A44023" w:rsidRPr="005149A8" w:rsidRDefault="00A44023" w:rsidP="00F93053">
            <w:pPr>
              <w:pStyle w:val="rvps2"/>
              <w:shd w:val="clear" w:color="auto" w:fill="FFFFFF"/>
              <w:spacing w:before="0" w:after="150"/>
              <w:jc w:val="both"/>
              <w:rPr>
                <w:color w:val="000000" w:themeColor="text1"/>
              </w:rPr>
            </w:pPr>
            <w:r w:rsidRPr="005149A8">
              <w:rPr>
                <w:color w:val="000000" w:themeColor="text1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A44023" w:rsidRPr="005149A8" w:rsidRDefault="00A44023" w:rsidP="00F93053">
            <w:pPr>
              <w:pStyle w:val="rvps2"/>
              <w:shd w:val="clear" w:color="auto" w:fill="FFFFFF"/>
              <w:spacing w:before="0" w:after="150"/>
              <w:jc w:val="both"/>
              <w:rPr>
                <w:color w:val="333333"/>
              </w:rPr>
            </w:pPr>
            <w:bookmarkStart w:id="1" w:name="n1277"/>
            <w:bookmarkEnd w:id="1"/>
            <w:r w:rsidRPr="005149A8">
              <w:rPr>
                <w:color w:val="000000" w:themeColor="text1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2" w:type="dxa"/>
          </w:tcPr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Переможець надає довідку в довільній формі про те, що між ним і замовником не було укладено договору про закупівлю за яким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23" w:rsidRPr="005149A8" w:rsidRDefault="00A44023" w:rsidP="00F93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8">
              <w:rPr>
                <w:rFonts w:ascii="Times New Roman" w:hAnsi="Times New Roman" w:cs="Times New Roman"/>
                <w:sz w:val="24"/>
                <w:szCs w:val="24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A97AE2" w:rsidRPr="005149A8" w:rsidRDefault="001E06BB">
      <w:pPr>
        <w:rPr>
          <w:rFonts w:ascii="Times New Roman" w:hAnsi="Times New Roman" w:cs="Times New Roman"/>
          <w:sz w:val="24"/>
          <w:szCs w:val="24"/>
        </w:rPr>
      </w:pPr>
    </w:p>
    <w:sectPr w:rsidR="00A97AE2" w:rsidRPr="005149A8" w:rsidSect="0063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23"/>
    <w:rsid w:val="001337F8"/>
    <w:rsid w:val="0014250F"/>
    <w:rsid w:val="001571A6"/>
    <w:rsid w:val="00183A84"/>
    <w:rsid w:val="001E06BB"/>
    <w:rsid w:val="001E5EFE"/>
    <w:rsid w:val="001E60E6"/>
    <w:rsid w:val="00362217"/>
    <w:rsid w:val="003966CF"/>
    <w:rsid w:val="004D12CF"/>
    <w:rsid w:val="005149A8"/>
    <w:rsid w:val="00521506"/>
    <w:rsid w:val="005D6B5E"/>
    <w:rsid w:val="00636F92"/>
    <w:rsid w:val="0073362F"/>
    <w:rsid w:val="00860255"/>
    <w:rsid w:val="00885290"/>
    <w:rsid w:val="009F09B7"/>
    <w:rsid w:val="00A30030"/>
    <w:rsid w:val="00A44023"/>
    <w:rsid w:val="00AF1495"/>
    <w:rsid w:val="00B1006F"/>
    <w:rsid w:val="00CA2C28"/>
    <w:rsid w:val="00DC1392"/>
    <w:rsid w:val="00E003B3"/>
    <w:rsid w:val="00F35995"/>
    <w:rsid w:val="00F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023"/>
    <w:rPr>
      <w:color w:val="0000FF"/>
      <w:u w:val="single"/>
    </w:rPr>
  </w:style>
  <w:style w:type="paragraph" w:customStyle="1" w:styleId="rvps2">
    <w:name w:val="rvps2"/>
    <w:basedOn w:val="a"/>
    <w:rsid w:val="00A440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A4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023"/>
    <w:rPr>
      <w:color w:val="0000FF"/>
      <w:u w:val="single"/>
    </w:rPr>
  </w:style>
  <w:style w:type="paragraph" w:customStyle="1" w:styleId="rvps2">
    <w:name w:val="rvps2"/>
    <w:basedOn w:val="a"/>
    <w:rsid w:val="00A440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A4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6561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2022-05-31T11:32:00Z</cp:lastPrinted>
  <dcterms:created xsi:type="dcterms:W3CDTF">2022-09-05T06:35:00Z</dcterms:created>
  <dcterms:modified xsi:type="dcterms:W3CDTF">2022-09-05T06:35:00Z</dcterms:modified>
</cp:coreProperties>
</file>