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58E" w:rsidRDefault="007625D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w:t>
      </w:r>
      <w:r w:rsidR="0007358E">
        <w:rPr>
          <w:rFonts w:ascii="Times New Roman" w:eastAsia="Times New Roman" w:hAnsi="Times New Roman"/>
          <w:b/>
          <w:bCs/>
          <w:sz w:val="24"/>
          <w:szCs w:val="24"/>
          <w:lang w:eastAsia="ru-RU"/>
        </w:rPr>
        <w:t>одаток 3</w:t>
      </w:r>
    </w:p>
    <w:p w:rsidR="00387B0B" w:rsidRDefault="0007358E">
      <w:pPr>
        <w:spacing w:after="0" w:line="240" w:lineRule="auto"/>
        <w:jc w:val="right"/>
        <w:rPr>
          <w:rFonts w:ascii="Times New Roman" w:eastAsia="Times New Roman" w:hAnsi="Times New Roman"/>
          <w:b/>
          <w:bCs/>
          <w:sz w:val="24"/>
          <w:szCs w:val="24"/>
          <w:lang w:val="ru-RU" w:eastAsia="ru-RU"/>
        </w:rPr>
      </w:pPr>
      <w:r>
        <w:rPr>
          <w:rFonts w:ascii="Times New Roman" w:eastAsia="Times New Roman" w:hAnsi="Times New Roman"/>
          <w:b/>
          <w:bCs/>
          <w:sz w:val="24"/>
          <w:szCs w:val="24"/>
          <w:lang w:eastAsia="ru-RU"/>
        </w:rPr>
        <w:t xml:space="preserve"> </w:t>
      </w:r>
      <w:r w:rsidRPr="0007358E">
        <w:rPr>
          <w:rFonts w:ascii="Times New Roman" w:eastAsia="Times New Roman" w:hAnsi="Times New Roman"/>
          <w:sz w:val="24"/>
          <w:szCs w:val="24"/>
          <w:lang w:eastAsia="ru-RU"/>
        </w:rPr>
        <w:t>до тендерної документації</w:t>
      </w:r>
    </w:p>
    <w:p w:rsidR="00387B0B" w:rsidRDefault="007625D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ТЕХНІЧНЕ ЗАВДАННЯ</w:t>
      </w:r>
    </w:p>
    <w:p w:rsidR="00387B0B" w:rsidRDefault="007625D6">
      <w:pPr>
        <w:tabs>
          <w:tab w:val="left" w:pos="3024"/>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p>
    <w:p w:rsidR="00387B0B" w:rsidRDefault="007625D6">
      <w:pPr>
        <w:spacing w:after="0" w:line="240" w:lineRule="auto"/>
        <w:ind w:firstLine="708"/>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У разі, якщо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387B0B" w:rsidRDefault="00387B0B">
      <w:pPr>
        <w:spacing w:after="0"/>
      </w:pPr>
    </w:p>
    <w:p w:rsidR="00387B0B" w:rsidRDefault="007625D6">
      <w:pPr>
        <w:spacing w:after="0"/>
        <w:jc w:val="center"/>
        <w:rPr>
          <w:rFonts w:ascii="Times New Roman" w:hAnsi="Times New Roman"/>
          <w:b/>
          <w:bCs/>
          <w:spacing w:val="-3"/>
          <w:sz w:val="24"/>
          <w:szCs w:val="24"/>
        </w:rPr>
      </w:pPr>
      <w:r>
        <w:rPr>
          <w:rFonts w:ascii="Times New Roman" w:hAnsi="Times New Roman"/>
          <w:b/>
          <w:bCs/>
          <w:spacing w:val="-3"/>
          <w:sz w:val="24"/>
          <w:szCs w:val="24"/>
        </w:rPr>
        <w:t>«Теплова енергія»</w:t>
      </w:r>
    </w:p>
    <w:p w:rsidR="00387B0B" w:rsidRDefault="007625D6">
      <w:pPr>
        <w:spacing w:after="0"/>
        <w:jc w:val="center"/>
        <w:rPr>
          <w:rFonts w:ascii="Times New Roman" w:hAnsi="Times New Roman"/>
          <w:b/>
          <w:bCs/>
          <w:spacing w:val="-3"/>
          <w:sz w:val="24"/>
          <w:szCs w:val="24"/>
        </w:rPr>
      </w:pPr>
      <w:r>
        <w:rPr>
          <w:rFonts w:ascii="Times New Roman" w:hAnsi="Times New Roman"/>
          <w:b/>
          <w:bCs/>
          <w:spacing w:val="-3"/>
          <w:sz w:val="24"/>
          <w:szCs w:val="24"/>
        </w:rPr>
        <w:t>(Код ДК 021:2015 (CPV) - 09320000-8 Пара, гаряча вода та пов’язана продукція)</w:t>
      </w:r>
    </w:p>
    <w:p w:rsidR="00387B0B" w:rsidRDefault="00387B0B">
      <w:pPr>
        <w:spacing w:after="0"/>
        <w:rPr>
          <w:rFonts w:ascii="Times New Roman" w:hAnsi="Times New Roman"/>
          <w:sz w:val="24"/>
          <w:szCs w:val="24"/>
        </w:rPr>
      </w:pPr>
    </w:p>
    <w:p w:rsidR="00387B0B" w:rsidRPr="00154C03" w:rsidRDefault="007625D6">
      <w:pPr>
        <w:spacing w:after="0"/>
        <w:rPr>
          <w:rFonts w:ascii="Times New Roman" w:hAnsi="Times New Roman"/>
          <w:i/>
          <w:iCs/>
          <w:sz w:val="24"/>
          <w:szCs w:val="24"/>
        </w:rPr>
      </w:pPr>
      <w:r w:rsidRPr="00DD29E0">
        <w:rPr>
          <w:rFonts w:ascii="Times New Roman" w:hAnsi="Times New Roman"/>
          <w:sz w:val="24"/>
          <w:szCs w:val="24"/>
        </w:rPr>
        <w:t xml:space="preserve">Обсяг: </w:t>
      </w:r>
      <w:r w:rsidR="00FB0908">
        <w:rPr>
          <w:rFonts w:ascii="Times New Roman" w:hAnsi="Times New Roman"/>
          <w:i/>
          <w:iCs/>
          <w:sz w:val="24"/>
          <w:szCs w:val="24"/>
        </w:rPr>
        <w:t>384,14</w:t>
      </w:r>
      <w:bookmarkStart w:id="0" w:name="_GoBack"/>
      <w:bookmarkEnd w:id="0"/>
      <w:r w:rsidRPr="00154C03">
        <w:rPr>
          <w:rFonts w:ascii="Times New Roman" w:hAnsi="Times New Roman"/>
          <w:i/>
          <w:iCs/>
          <w:sz w:val="24"/>
          <w:szCs w:val="24"/>
        </w:rPr>
        <w:t xml:space="preserve"> Гкал</w:t>
      </w:r>
    </w:p>
    <w:p w:rsidR="00387B0B" w:rsidRPr="00154C03" w:rsidRDefault="007625D6">
      <w:pPr>
        <w:spacing w:after="0"/>
        <w:ind w:right="116"/>
        <w:jc w:val="both"/>
        <w:rPr>
          <w:rFonts w:ascii="Times New Roman" w:hAnsi="Times New Roman"/>
          <w:i/>
          <w:iCs/>
          <w:sz w:val="24"/>
          <w:szCs w:val="24"/>
        </w:rPr>
      </w:pPr>
      <w:r>
        <w:rPr>
          <w:rFonts w:ascii="Times New Roman" w:hAnsi="Times New Roman"/>
          <w:sz w:val="24"/>
          <w:szCs w:val="24"/>
        </w:rPr>
        <w:t xml:space="preserve">Місце поставки: </w:t>
      </w:r>
      <w:r w:rsidRPr="00154C03">
        <w:rPr>
          <w:rFonts w:ascii="Times New Roman" w:hAnsi="Times New Roman"/>
          <w:i/>
          <w:iCs/>
          <w:sz w:val="24"/>
          <w:szCs w:val="24"/>
        </w:rPr>
        <w:t>вул. Винниченка, 37, м. Новий Розділ, Львівська область, 81652, Україна</w:t>
      </w:r>
    </w:p>
    <w:p w:rsidR="00387B0B" w:rsidRDefault="007625D6">
      <w:pPr>
        <w:spacing w:after="0"/>
        <w:ind w:right="116"/>
        <w:jc w:val="both"/>
        <w:rPr>
          <w:rFonts w:ascii="Times New Roman" w:hAnsi="Times New Roman"/>
          <w:bCs/>
          <w:sz w:val="24"/>
          <w:szCs w:val="24"/>
        </w:rPr>
      </w:pPr>
      <w:r>
        <w:rPr>
          <w:rFonts w:ascii="Times New Roman" w:hAnsi="Times New Roman"/>
          <w:sz w:val="24"/>
          <w:szCs w:val="24"/>
        </w:rPr>
        <w:t xml:space="preserve">Строк поставки товару: </w:t>
      </w:r>
      <w:r w:rsidRPr="00154C03">
        <w:rPr>
          <w:rFonts w:ascii="Times New Roman" w:hAnsi="Times New Roman"/>
          <w:bCs/>
          <w:i/>
          <w:iCs/>
          <w:sz w:val="24"/>
          <w:szCs w:val="24"/>
        </w:rPr>
        <w:t xml:space="preserve">до </w:t>
      </w:r>
      <w:r w:rsidR="00673F28" w:rsidRPr="00154C03">
        <w:rPr>
          <w:rFonts w:ascii="Times New Roman" w:hAnsi="Times New Roman"/>
          <w:bCs/>
          <w:i/>
          <w:iCs/>
          <w:sz w:val="24"/>
          <w:szCs w:val="24"/>
        </w:rPr>
        <w:t>15</w:t>
      </w:r>
      <w:r w:rsidRPr="00154C03">
        <w:rPr>
          <w:rFonts w:ascii="Times New Roman" w:hAnsi="Times New Roman"/>
          <w:bCs/>
          <w:i/>
          <w:iCs/>
          <w:sz w:val="24"/>
          <w:szCs w:val="24"/>
        </w:rPr>
        <w:t>.</w:t>
      </w:r>
      <w:r w:rsidR="00673F28" w:rsidRPr="00154C03">
        <w:rPr>
          <w:rFonts w:ascii="Times New Roman" w:hAnsi="Times New Roman"/>
          <w:bCs/>
          <w:i/>
          <w:iCs/>
          <w:sz w:val="24"/>
          <w:szCs w:val="24"/>
        </w:rPr>
        <w:t>04</w:t>
      </w:r>
      <w:r w:rsidRPr="00154C03">
        <w:rPr>
          <w:rFonts w:ascii="Times New Roman" w:hAnsi="Times New Roman"/>
          <w:bCs/>
          <w:i/>
          <w:iCs/>
          <w:sz w:val="24"/>
          <w:szCs w:val="24"/>
        </w:rPr>
        <w:t xml:space="preserve">.2024 </w:t>
      </w:r>
      <w:r w:rsidR="00673F28" w:rsidRPr="00154C03">
        <w:rPr>
          <w:rFonts w:ascii="Times New Roman" w:hAnsi="Times New Roman"/>
          <w:bCs/>
          <w:i/>
          <w:iCs/>
          <w:sz w:val="24"/>
          <w:szCs w:val="24"/>
        </w:rPr>
        <w:t>року</w:t>
      </w:r>
      <w:r w:rsidRPr="00154C03">
        <w:rPr>
          <w:rFonts w:ascii="Times New Roman" w:hAnsi="Times New Roman"/>
          <w:bCs/>
          <w:i/>
          <w:iCs/>
          <w:sz w:val="24"/>
          <w:szCs w:val="24"/>
        </w:rPr>
        <w:t xml:space="preserve"> включно</w:t>
      </w:r>
      <w:r>
        <w:rPr>
          <w:rFonts w:ascii="Times New Roman" w:hAnsi="Times New Roman"/>
          <w:bCs/>
          <w:sz w:val="24"/>
          <w:szCs w:val="24"/>
        </w:rPr>
        <w:t xml:space="preserve"> </w:t>
      </w:r>
    </w:p>
    <w:p w:rsidR="00387B0B" w:rsidRDefault="00387B0B">
      <w:pPr>
        <w:widowControl w:val="0"/>
        <w:spacing w:after="0" w:line="240" w:lineRule="auto"/>
        <w:ind w:right="113"/>
        <w:contextualSpacing/>
        <w:jc w:val="both"/>
        <w:rPr>
          <w:rFonts w:ascii="Times New Roman" w:hAnsi="Times New Roman"/>
          <w:bCs/>
          <w:sz w:val="24"/>
          <w:szCs w:val="24"/>
        </w:rPr>
      </w:pPr>
    </w:p>
    <w:p w:rsidR="00387B0B" w:rsidRDefault="007625D6">
      <w:pPr>
        <w:spacing w:after="0"/>
        <w:jc w:val="both"/>
        <w:rPr>
          <w:rFonts w:ascii="Times New Roman" w:hAnsi="Times New Roman"/>
          <w:b/>
          <w:sz w:val="24"/>
          <w:szCs w:val="24"/>
        </w:rPr>
      </w:pPr>
      <w:r>
        <w:rPr>
          <w:rFonts w:ascii="Times New Roman" w:hAnsi="Times New Roman"/>
          <w:b/>
          <w:sz w:val="24"/>
          <w:szCs w:val="24"/>
        </w:rPr>
        <w:t>Вимоги до учасника</w:t>
      </w:r>
    </w:p>
    <w:p w:rsidR="00387B0B" w:rsidRDefault="007625D6">
      <w:pPr>
        <w:spacing w:after="0"/>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r>
        <w:rPr>
          <w:rFonts w:ascii="Times New Roman" w:hAnsi="Times New Roman"/>
          <w:sz w:val="24"/>
          <w:szCs w:val="24"/>
        </w:rPr>
        <w:t>Надавачу послуг необхідно забезпечити подачу теплової енергії на об’єкт замовника від джерела теплопостачання  з врахуванням наявних потреб Замовника,.</w:t>
      </w:r>
    </w:p>
    <w:p w:rsidR="00387B0B" w:rsidRDefault="007625D6">
      <w:pPr>
        <w:spacing w:after="0"/>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387B0B" w:rsidRDefault="007625D6">
      <w:pPr>
        <w:spacing w:after="0"/>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Послуги повинні надаватись відповідно до Закону України «Про теплопостачання» № 2633-IV від 02.06.2005 року (зі змінами) та повинні забезпечувати:</w:t>
      </w:r>
    </w:p>
    <w:p w:rsidR="00387B0B" w:rsidRDefault="007625D6">
      <w:pPr>
        <w:numPr>
          <w:ilvl w:val="0"/>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відповідну нормативну температуру повітря у приміщенні відповідно до санітарних вимог, з урахуванням їх цільового призначення, а саме: (у приміщеннях де працівники виконують свої обов’язки сидячи і не потребують фізичного напруження температура має становити 22-24 </w:t>
      </w:r>
      <w:r>
        <w:rPr>
          <w:rFonts w:ascii="Times New Roman" w:hAnsi="Times New Roman"/>
          <w:sz w:val="24"/>
          <w:szCs w:val="24"/>
          <w:vertAlign w:val="superscript"/>
        </w:rPr>
        <w:t>о</w:t>
      </w:r>
      <w:r>
        <w:rPr>
          <w:rFonts w:ascii="Times New Roman" w:hAnsi="Times New Roman"/>
          <w:sz w:val="24"/>
          <w:szCs w:val="24"/>
        </w:rPr>
        <w:t xml:space="preserve">С. В приміщеннях, де робота виконується сидячи, стоячи та супроводжується деяким фізичним напруженням, температура має бути 21-23 </w:t>
      </w:r>
      <w:r>
        <w:rPr>
          <w:rFonts w:ascii="Times New Roman" w:hAnsi="Times New Roman"/>
          <w:sz w:val="24"/>
          <w:szCs w:val="24"/>
          <w:vertAlign w:val="superscript"/>
        </w:rPr>
        <w:t>о</w:t>
      </w:r>
      <w:r>
        <w:rPr>
          <w:rFonts w:ascii="Times New Roman" w:hAnsi="Times New Roman"/>
          <w:sz w:val="24"/>
          <w:szCs w:val="24"/>
        </w:rPr>
        <w:t xml:space="preserve">С.) та згідно </w:t>
      </w:r>
      <w:bookmarkStart w:id="1" w:name="_Hlk122618016"/>
      <w:r>
        <w:rPr>
          <w:rFonts w:ascii="Times New Roman" w:hAnsi="Times New Roman"/>
          <w:sz w:val="24"/>
          <w:szCs w:val="24"/>
        </w:rPr>
        <w:t>температурного графіку для теплових мереж</w:t>
      </w:r>
      <w:bookmarkEnd w:id="1"/>
      <w:r>
        <w:rPr>
          <w:rFonts w:ascii="Times New Roman" w:hAnsi="Times New Roman"/>
          <w:sz w:val="24"/>
          <w:szCs w:val="24"/>
        </w:rPr>
        <w:t>, спільно погодженого між Замовником та Постачальником, який буде Додатком до Договору.</w:t>
      </w:r>
      <w:r>
        <w:rPr>
          <w:rFonts w:ascii="Times New Roman" w:hAnsi="Times New Roman"/>
          <w:sz w:val="24"/>
          <w:szCs w:val="24"/>
          <w:shd w:val="clear" w:color="auto" w:fill="FFFF00"/>
        </w:rPr>
        <w:t xml:space="preserve"> </w:t>
      </w:r>
    </w:p>
    <w:p w:rsidR="00387B0B" w:rsidRDefault="007625D6">
      <w:pPr>
        <w:spacing w:after="0" w:line="240" w:lineRule="auto"/>
        <w:ind w:left="709"/>
        <w:jc w:val="both"/>
        <w:rPr>
          <w:rFonts w:ascii="Times New Roman" w:hAnsi="Times New Roman"/>
          <w:sz w:val="24"/>
          <w:szCs w:val="24"/>
        </w:rPr>
      </w:pPr>
      <w:r>
        <w:rPr>
          <w:rFonts w:ascii="Times New Roman" w:hAnsi="Times New Roman"/>
          <w:sz w:val="24"/>
          <w:szCs w:val="24"/>
        </w:rPr>
        <w:t>Недотримання цих вимог може мати наслідком накладення на постачальника штрафних санкцій або зменшення оплати за той період, коли температура приміщення не відповідала вимогам замовника.</w:t>
      </w:r>
    </w:p>
    <w:p w:rsidR="00387B0B" w:rsidRDefault="00387B0B">
      <w:pPr>
        <w:spacing w:after="0" w:line="240" w:lineRule="auto"/>
        <w:jc w:val="both"/>
        <w:rPr>
          <w:rFonts w:ascii="Times New Roman" w:hAnsi="Times New Roman"/>
          <w:sz w:val="24"/>
          <w:szCs w:val="24"/>
        </w:rPr>
      </w:pPr>
    </w:p>
    <w:p w:rsidR="00387B0B" w:rsidRDefault="007625D6">
      <w:pPr>
        <w:numPr>
          <w:ilvl w:val="0"/>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безпечну дію усіх видів устаткування та обладнання, задіяних в технології надання послуг.</w:t>
      </w:r>
    </w:p>
    <w:p w:rsidR="00387B0B" w:rsidRDefault="00387B0B">
      <w:pPr>
        <w:tabs>
          <w:tab w:val="left" w:pos="1440"/>
        </w:tabs>
        <w:spacing w:after="0"/>
        <w:jc w:val="both"/>
        <w:rPr>
          <w:rFonts w:ascii="Times New Roman" w:hAnsi="Times New Roman"/>
          <w:b/>
          <w:bCs/>
          <w:sz w:val="24"/>
          <w:szCs w:val="24"/>
        </w:rPr>
      </w:pPr>
    </w:p>
    <w:p w:rsidR="00387B0B" w:rsidRDefault="007625D6">
      <w:pPr>
        <w:tabs>
          <w:tab w:val="left" w:pos="1440"/>
        </w:tabs>
        <w:spacing w:after="0"/>
        <w:jc w:val="both"/>
        <w:rPr>
          <w:rFonts w:ascii="Times New Roman" w:hAnsi="Times New Roman"/>
          <w:b/>
          <w:bCs/>
          <w:sz w:val="24"/>
          <w:szCs w:val="24"/>
        </w:rPr>
      </w:pPr>
      <w:r>
        <w:rPr>
          <w:rFonts w:ascii="Times New Roman" w:hAnsi="Times New Roman"/>
          <w:b/>
          <w:bCs/>
          <w:sz w:val="24"/>
          <w:szCs w:val="24"/>
        </w:rPr>
        <w:t>Якісні вимоги до предмету закупівлі:</w:t>
      </w:r>
    </w:p>
    <w:p w:rsidR="00387B0B" w:rsidRDefault="007625D6">
      <w:pPr>
        <w:tabs>
          <w:tab w:val="left" w:pos="1440"/>
        </w:tabs>
        <w:spacing w:after="0"/>
        <w:jc w:val="both"/>
        <w:rPr>
          <w:rFonts w:ascii="Times New Roman" w:hAnsi="Times New Roman"/>
          <w:sz w:val="24"/>
          <w:szCs w:val="24"/>
        </w:rPr>
      </w:pPr>
      <w:r>
        <w:rPr>
          <w:rFonts w:ascii="Times New Roman" w:hAnsi="Times New Roman"/>
          <w:sz w:val="24"/>
          <w:szCs w:val="24"/>
        </w:rPr>
        <w:t>Якість послуг повинна відповідати чинним нормам, правилам і стандартам у сфері теплопостачання, а також забезпечувати дотримання умов ДБН В.2.5.-67:2013 «Опалення, вентиляція та кондиціонування», нормам та вказівкам по нормуванню витрат палива та теплової енергії на опалення житлових та громадських споруд, а також на господарсько-побутові потреби в Україні КТМ 204 244-94.</w:t>
      </w:r>
    </w:p>
    <w:p w:rsidR="00387B0B" w:rsidRDefault="00387B0B">
      <w:pPr>
        <w:tabs>
          <w:tab w:val="left" w:pos="1440"/>
        </w:tabs>
        <w:spacing w:after="0"/>
        <w:jc w:val="both"/>
        <w:rPr>
          <w:rFonts w:ascii="Times New Roman" w:hAnsi="Times New Roman"/>
          <w:sz w:val="24"/>
          <w:szCs w:val="24"/>
        </w:rPr>
      </w:pPr>
    </w:p>
    <w:p w:rsidR="00387B0B" w:rsidRDefault="007625D6">
      <w:pPr>
        <w:tabs>
          <w:tab w:val="left" w:pos="1440"/>
        </w:tabs>
        <w:spacing w:after="0"/>
        <w:jc w:val="both"/>
        <w:rPr>
          <w:rFonts w:ascii="Times New Roman" w:hAnsi="Times New Roman"/>
          <w:b/>
          <w:bCs/>
          <w:sz w:val="24"/>
          <w:szCs w:val="24"/>
        </w:rPr>
      </w:pPr>
      <w:r>
        <w:rPr>
          <w:rFonts w:ascii="Times New Roman" w:hAnsi="Times New Roman"/>
          <w:b/>
          <w:bCs/>
          <w:sz w:val="24"/>
          <w:szCs w:val="24"/>
        </w:rPr>
        <w:t>Вимоги щодо захисту довкілля:</w:t>
      </w:r>
    </w:p>
    <w:p w:rsidR="00387B0B" w:rsidRDefault="007625D6">
      <w:pPr>
        <w:tabs>
          <w:tab w:val="left" w:pos="1440"/>
        </w:tabs>
        <w:spacing w:after="0"/>
        <w:jc w:val="both"/>
        <w:rPr>
          <w:rFonts w:ascii="Times New Roman" w:hAnsi="Times New Roman"/>
          <w:sz w:val="24"/>
          <w:szCs w:val="24"/>
        </w:rPr>
      </w:pPr>
      <w:r>
        <w:rPr>
          <w:rFonts w:ascii="Times New Roman" w:hAnsi="Times New Roman"/>
          <w:sz w:val="24"/>
          <w:szCs w:val="24"/>
        </w:rPr>
        <w:t>Учасник повинен дотримуватись передбачених чинним законодавством України заходів із захисту довкілля відповідно до нормативних актів, за якими здійснюється правове регулювання охорони довкілля під час провадження даного виду господарської діяльності</w:t>
      </w:r>
    </w:p>
    <w:p w:rsidR="00387B0B" w:rsidRDefault="00387B0B">
      <w:pPr>
        <w:tabs>
          <w:tab w:val="left" w:pos="1440"/>
        </w:tabs>
        <w:spacing w:after="0"/>
        <w:jc w:val="both"/>
        <w:rPr>
          <w:rFonts w:ascii="Times New Roman" w:hAnsi="Times New Roman"/>
          <w:sz w:val="24"/>
          <w:szCs w:val="24"/>
        </w:rPr>
      </w:pPr>
    </w:p>
    <w:p w:rsidR="00387B0B" w:rsidRDefault="007625D6">
      <w:pPr>
        <w:tabs>
          <w:tab w:val="left" w:pos="1440"/>
        </w:tabs>
        <w:spacing w:after="0"/>
        <w:jc w:val="both"/>
        <w:rPr>
          <w:rFonts w:ascii="Times New Roman" w:hAnsi="Times New Roman"/>
          <w:sz w:val="24"/>
          <w:szCs w:val="24"/>
        </w:rPr>
      </w:pPr>
      <w:r>
        <w:rPr>
          <w:rFonts w:ascii="Times New Roman" w:hAnsi="Times New Roman"/>
          <w:b/>
          <w:bCs/>
          <w:sz w:val="24"/>
          <w:szCs w:val="24"/>
        </w:rPr>
        <w:t>Технічні вимоги щодо предмету закупівлі</w:t>
      </w:r>
      <w:r>
        <w:rPr>
          <w:rFonts w:ascii="Times New Roman" w:hAnsi="Times New Roman"/>
          <w:sz w:val="24"/>
          <w:szCs w:val="24"/>
        </w:rPr>
        <w:t xml:space="preserve">: </w:t>
      </w:r>
    </w:p>
    <w:p w:rsidR="00387B0B" w:rsidRDefault="007625D6">
      <w:pPr>
        <w:tabs>
          <w:tab w:val="left" w:pos="1440"/>
        </w:tabs>
        <w:spacing w:after="0"/>
        <w:jc w:val="both"/>
        <w:rPr>
          <w:rFonts w:ascii="Times New Roman" w:hAnsi="Times New Roman"/>
          <w:b/>
          <w:sz w:val="24"/>
          <w:szCs w:val="24"/>
        </w:rPr>
      </w:pPr>
      <w:r>
        <w:rPr>
          <w:rFonts w:ascii="Times New Roman" w:hAnsi="Times New Roman"/>
          <w:sz w:val="24"/>
          <w:szCs w:val="24"/>
        </w:rPr>
        <w:t xml:space="preserve">Технічні та якісні характеристики предмету закупівлі </w:t>
      </w:r>
      <w:r>
        <w:rPr>
          <w:rFonts w:ascii="Times New Roman" w:hAnsi="Times New Roman"/>
          <w:b/>
          <w:sz w:val="24"/>
          <w:szCs w:val="24"/>
        </w:rPr>
        <w:t>повинні відповідати технічним умовам та стандартам, передбаченим законодавством України, діючим на період постачання послуги.</w:t>
      </w:r>
    </w:p>
    <w:p w:rsidR="00387B0B" w:rsidRDefault="00387B0B">
      <w:pPr>
        <w:widowControl w:val="0"/>
        <w:spacing w:after="0" w:line="240" w:lineRule="auto"/>
        <w:ind w:right="113"/>
        <w:contextualSpacing/>
        <w:jc w:val="both"/>
        <w:rPr>
          <w:rFonts w:ascii="Times New Roman" w:hAnsi="Times New Roman"/>
          <w:sz w:val="24"/>
          <w:szCs w:val="24"/>
          <w:lang w:eastAsia="uk-UA"/>
        </w:rPr>
      </w:pPr>
    </w:p>
    <w:p w:rsidR="00387B0B" w:rsidRDefault="00387B0B">
      <w:pPr>
        <w:widowControl w:val="0"/>
        <w:spacing w:after="0" w:line="240" w:lineRule="auto"/>
        <w:ind w:right="113"/>
        <w:contextualSpacing/>
        <w:jc w:val="both"/>
        <w:rPr>
          <w:rFonts w:ascii="Times New Roman" w:hAnsi="Times New Roman"/>
          <w:sz w:val="24"/>
          <w:szCs w:val="24"/>
          <w:lang w:eastAsia="uk-UA"/>
        </w:rPr>
      </w:pPr>
    </w:p>
    <w:p w:rsidR="00387B0B" w:rsidRDefault="007625D6">
      <w:pPr>
        <w:widowControl w:val="0"/>
        <w:spacing w:after="0" w:line="240" w:lineRule="auto"/>
        <w:ind w:right="113"/>
        <w:contextualSpacing/>
        <w:jc w:val="both"/>
        <w:rPr>
          <w:rFonts w:ascii="Times New Roman" w:eastAsia="Times New Roman" w:hAnsi="Times New Roman"/>
          <w:color w:val="000000"/>
          <w:sz w:val="24"/>
          <w:szCs w:val="24"/>
          <w:lang w:eastAsia="uk-UA"/>
        </w:rPr>
      </w:pPr>
      <w:r>
        <w:rPr>
          <w:rFonts w:ascii="Times New Roman" w:hAnsi="Times New Roman"/>
          <w:sz w:val="24"/>
          <w:szCs w:val="24"/>
          <w:lang w:eastAsia="uk-UA"/>
        </w:rPr>
        <w:t>Замовником допускається можливість постачання теплової енергії як через загальні міські мережі теплопостачання, так і альтернативними способами (через котельні).У складі тендерної пропозиції учасник повинен надати роз’яснення, яким способом буде забезпечуватися</w:t>
      </w:r>
      <w:r>
        <w:rPr>
          <w:rFonts w:ascii="Times New Roman" w:hAnsi="Times New Roman"/>
        </w:rPr>
        <w:t xml:space="preserve"> </w:t>
      </w:r>
      <w:bookmarkStart w:id="2" w:name="_Hlk79999358"/>
      <w:r>
        <w:rPr>
          <w:rFonts w:ascii="Times New Roman" w:hAnsi="Times New Roman"/>
          <w:sz w:val="24"/>
          <w:szCs w:val="24"/>
        </w:rPr>
        <w:t>подача теплопостачання та гарячої води</w:t>
      </w:r>
      <w:r>
        <w:rPr>
          <w:sz w:val="24"/>
          <w:szCs w:val="24"/>
        </w:rPr>
        <w:t xml:space="preserve"> </w:t>
      </w:r>
      <w:r>
        <w:rPr>
          <w:rFonts w:ascii="Times New Roman" w:hAnsi="Times New Roman"/>
          <w:sz w:val="24"/>
          <w:szCs w:val="24"/>
        </w:rPr>
        <w:t xml:space="preserve">на об’єкт замовника від джерела теплопостачання  </w:t>
      </w:r>
      <w:bookmarkEnd w:id="2"/>
      <w:r>
        <w:rPr>
          <w:rFonts w:ascii="Times New Roman" w:hAnsi="Times New Roman"/>
          <w:sz w:val="24"/>
          <w:szCs w:val="24"/>
        </w:rPr>
        <w:t>з врахуванням наявних потреб Замовника.</w:t>
      </w:r>
    </w:p>
    <w:p w:rsidR="00387B0B" w:rsidRDefault="00387B0B">
      <w:pPr>
        <w:pStyle w:val="a9"/>
        <w:shd w:val="clear" w:color="auto" w:fill="FFFFFF"/>
        <w:spacing w:before="240" w:after="200"/>
        <w:rPr>
          <w:rStyle w:val="a3"/>
          <w:b/>
          <w:color w:val="000000"/>
          <w:sz w:val="24"/>
          <w:szCs w:val="22"/>
        </w:rPr>
      </w:pPr>
    </w:p>
    <w:p w:rsidR="00387B0B" w:rsidRDefault="007625D6">
      <w:pPr>
        <w:pStyle w:val="a9"/>
        <w:shd w:val="clear" w:color="auto" w:fill="FFFFFF"/>
        <w:spacing w:before="240" w:after="200"/>
        <w:ind w:left="29"/>
        <w:jc w:val="center"/>
        <w:rPr>
          <w:b/>
          <w:bCs/>
          <w:sz w:val="28"/>
          <w:szCs w:val="28"/>
          <w:shd w:val="clear" w:color="auto" w:fill="FFFF00"/>
        </w:rPr>
      </w:pPr>
      <w:r>
        <w:rPr>
          <w:b/>
          <w:bCs/>
          <w:sz w:val="28"/>
          <w:szCs w:val="28"/>
        </w:rPr>
        <w:t>Температурний графік для теплових мереж</w:t>
      </w:r>
    </w:p>
    <w:p w:rsidR="00387B0B" w:rsidRDefault="00387B0B">
      <w:pPr>
        <w:pStyle w:val="a9"/>
        <w:shd w:val="clear" w:color="auto" w:fill="FFFFFF"/>
        <w:spacing w:before="240" w:after="200"/>
        <w:ind w:left="29"/>
        <w:jc w:val="center"/>
        <w:rPr>
          <w:sz w:val="24"/>
          <w:szCs w:val="24"/>
          <w:shd w:val="clear" w:color="auto" w:fill="FFFF00"/>
        </w:rPr>
      </w:pPr>
    </w:p>
    <w:tbl>
      <w:tblPr>
        <w:tblStyle w:val="aa"/>
        <w:tblW w:w="9826" w:type="dxa"/>
        <w:tblInd w:w="29" w:type="dxa"/>
        <w:tblLayout w:type="fixed"/>
        <w:tblLook w:val="04A0" w:firstRow="1" w:lastRow="0" w:firstColumn="1" w:lastColumn="0" w:noHBand="0" w:noVBand="1"/>
      </w:tblPr>
      <w:tblGrid>
        <w:gridCol w:w="3275"/>
        <w:gridCol w:w="3275"/>
        <w:gridCol w:w="3276"/>
      </w:tblGrid>
      <w:tr w:rsidR="00387B0B">
        <w:tc>
          <w:tcPr>
            <w:tcW w:w="3275" w:type="dxa"/>
            <w:shd w:val="clear" w:color="auto" w:fill="auto"/>
          </w:tcPr>
          <w:p w:rsidR="00387B0B" w:rsidRDefault="007625D6">
            <w:pPr>
              <w:suppressAutoHyphens w:val="0"/>
              <w:jc w:val="center"/>
              <w:rPr>
                <w:rFonts w:ascii="Times New Roman" w:hAnsi="Times New Roman"/>
                <w:b/>
                <w:bCs/>
              </w:rPr>
            </w:pPr>
            <w:r>
              <w:rPr>
                <w:rFonts w:ascii="Times New Roman" w:eastAsia="Times New Roman" w:hAnsi="Times New Roman"/>
                <w:b/>
                <w:bCs/>
              </w:rPr>
              <w:t xml:space="preserve">Темпертатура зовнішнього повітря, </w:t>
            </w:r>
            <w:r>
              <w:rPr>
                <w:rFonts w:ascii="Times New Roman" w:eastAsia="Times New Roman" w:hAnsi="Times New Roman"/>
                <w:b/>
                <w:bCs/>
                <w:vertAlign w:val="superscript"/>
              </w:rPr>
              <w:t>о</w:t>
            </w:r>
            <w:r>
              <w:rPr>
                <w:rFonts w:ascii="Times New Roman" w:eastAsia="Times New Roman" w:hAnsi="Times New Roman"/>
                <w:b/>
                <w:bCs/>
              </w:rPr>
              <w:t>С</w:t>
            </w:r>
          </w:p>
        </w:tc>
        <w:tc>
          <w:tcPr>
            <w:tcW w:w="3275" w:type="dxa"/>
          </w:tcPr>
          <w:p w:rsidR="00387B0B" w:rsidRDefault="007625D6">
            <w:pPr>
              <w:suppressAutoHyphens w:val="0"/>
              <w:jc w:val="center"/>
              <w:rPr>
                <w:rFonts w:ascii="Times New Roman" w:hAnsi="Times New Roman"/>
                <w:b/>
                <w:bCs/>
              </w:rPr>
            </w:pPr>
            <w:r>
              <w:rPr>
                <w:rFonts w:ascii="Times New Roman" w:eastAsia="Times New Roman" w:hAnsi="Times New Roman"/>
                <w:b/>
                <w:bCs/>
              </w:rPr>
              <w:t xml:space="preserve">Темпертатура подачі теплоносія, </w:t>
            </w:r>
            <w:r>
              <w:rPr>
                <w:rFonts w:ascii="Times New Roman" w:eastAsia="Times New Roman" w:hAnsi="Times New Roman"/>
                <w:b/>
                <w:bCs/>
                <w:vertAlign w:val="superscript"/>
              </w:rPr>
              <w:t>о</w:t>
            </w:r>
            <w:r>
              <w:rPr>
                <w:rFonts w:ascii="Times New Roman" w:eastAsia="Times New Roman" w:hAnsi="Times New Roman"/>
                <w:b/>
                <w:bCs/>
              </w:rPr>
              <w:t>С</w:t>
            </w:r>
          </w:p>
        </w:tc>
        <w:tc>
          <w:tcPr>
            <w:tcW w:w="3276" w:type="dxa"/>
          </w:tcPr>
          <w:p w:rsidR="00387B0B" w:rsidRDefault="007625D6">
            <w:pPr>
              <w:suppressAutoHyphens w:val="0"/>
              <w:jc w:val="center"/>
              <w:rPr>
                <w:rFonts w:ascii="Times New Roman" w:hAnsi="Times New Roman"/>
                <w:b/>
                <w:bCs/>
              </w:rPr>
            </w:pPr>
            <w:r>
              <w:rPr>
                <w:rFonts w:ascii="Times New Roman" w:eastAsia="Times New Roman" w:hAnsi="Times New Roman"/>
                <w:b/>
                <w:bCs/>
              </w:rPr>
              <w:t>Темпертатура зворотки</w:t>
            </w:r>
            <w:r>
              <w:rPr>
                <w:rFonts w:ascii="Times New Roman" w:eastAsia="Times New Roman" w:hAnsi="Times New Roman"/>
                <w:b/>
                <w:bCs/>
                <w:color w:val="FF0000"/>
              </w:rPr>
              <w:t xml:space="preserve"> </w:t>
            </w:r>
            <w:r>
              <w:rPr>
                <w:rFonts w:ascii="Times New Roman" w:eastAsia="Times New Roman" w:hAnsi="Times New Roman"/>
                <w:b/>
                <w:bCs/>
              </w:rPr>
              <w:t xml:space="preserve">теплоносія, </w:t>
            </w:r>
            <w:r>
              <w:rPr>
                <w:rFonts w:ascii="Times New Roman" w:eastAsia="Times New Roman" w:hAnsi="Times New Roman"/>
                <w:b/>
                <w:bCs/>
                <w:vertAlign w:val="superscript"/>
              </w:rPr>
              <w:t>о</w:t>
            </w:r>
            <w:r>
              <w:rPr>
                <w:rFonts w:ascii="Times New Roman" w:eastAsia="Times New Roman" w:hAnsi="Times New Roman"/>
                <w:b/>
                <w:bCs/>
              </w:rPr>
              <w:t>С</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+10</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+9</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+3</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+2</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52</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42</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54</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43</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0</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56</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44</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59</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45</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-2</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60</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48</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-3</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62</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49</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-4</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63</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65</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51</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67</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52</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70</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53</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71</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54</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lastRenderedPageBreak/>
              <w:t>-9</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72</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55</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-10</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74</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59</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-11</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76</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60</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-12</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61</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-13</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80</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62</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-14</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81</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63</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-15</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83</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64</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-16</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85</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65</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-17</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86</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67</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-18</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88</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68</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-19</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90</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69</w:t>
            </w:r>
          </w:p>
        </w:tc>
      </w:tr>
      <w:tr w:rsidR="00387B0B">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-20</w:t>
            </w:r>
          </w:p>
        </w:tc>
        <w:tc>
          <w:tcPr>
            <w:tcW w:w="3275"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92</w:t>
            </w:r>
          </w:p>
        </w:tc>
        <w:tc>
          <w:tcPr>
            <w:tcW w:w="3276" w:type="dxa"/>
            <w:shd w:val="clear" w:color="auto" w:fill="auto"/>
          </w:tcPr>
          <w:p w:rsidR="00387B0B" w:rsidRDefault="007625D6">
            <w:pPr>
              <w:suppressAutoHyphens w:val="0"/>
              <w:jc w:val="center"/>
              <w:rPr>
                <w:rFonts w:ascii="Times New Roman" w:hAnsi="Times New Roman"/>
              </w:rPr>
            </w:pPr>
            <w:r>
              <w:rPr>
                <w:rFonts w:ascii="Times New Roman" w:eastAsia="Times New Roman" w:hAnsi="Times New Roman"/>
              </w:rPr>
              <w:t>70</w:t>
            </w:r>
          </w:p>
        </w:tc>
      </w:tr>
    </w:tbl>
    <w:p w:rsidR="00387B0B" w:rsidRDefault="00387B0B">
      <w:pPr>
        <w:spacing w:after="0"/>
        <w:jc w:val="center"/>
        <w:rPr>
          <w:rFonts w:ascii="Times New Roman" w:hAnsi="Times New Roman"/>
          <w:b/>
          <w:sz w:val="24"/>
          <w:szCs w:val="24"/>
        </w:rPr>
      </w:pPr>
    </w:p>
    <w:sectPr w:rsidR="00387B0B">
      <w:pgSz w:w="11906" w:h="16838"/>
      <w:pgMar w:top="850" w:right="850" w:bottom="850"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F7B7D"/>
    <w:multiLevelType w:val="multilevel"/>
    <w:tmpl w:val="8C3EBD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136F13"/>
    <w:multiLevelType w:val="multilevel"/>
    <w:tmpl w:val="E56C14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7B0B"/>
    <w:rsid w:val="00033D37"/>
    <w:rsid w:val="0007358E"/>
    <w:rsid w:val="00154C03"/>
    <w:rsid w:val="00387B0B"/>
    <w:rsid w:val="00673F28"/>
    <w:rsid w:val="007625D6"/>
    <w:rsid w:val="00765EFB"/>
    <w:rsid w:val="009451A9"/>
    <w:rsid w:val="00DD29E0"/>
    <w:rsid w:val="00FB090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DA51"/>
  <w15:docId w15:val="{7BBB5C76-A7FE-4F6A-A92A-22BA2D79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566"/>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qFormat/>
    <w:rsid w:val="00626A03"/>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a9">
    <w:name w:val="Обычный"/>
    <w:qFormat/>
    <w:rsid w:val="00626A03"/>
    <w:pPr>
      <w:widowControl w:val="0"/>
      <w:suppressAutoHyphens w:val="0"/>
    </w:pPr>
    <w:rPr>
      <w:rFonts w:ascii="Times New Roman" w:eastAsia="Times New Roman" w:hAnsi="Times New Roman" w:cs="Times New Roman"/>
      <w:sz w:val="20"/>
      <w:szCs w:val="20"/>
      <w:lang w:eastAsia="uk-UA"/>
    </w:rPr>
  </w:style>
  <w:style w:type="table" w:styleId="aa">
    <w:name w:val="Table Grid"/>
    <w:basedOn w:val="a1"/>
    <w:uiPriority w:val="39"/>
    <w:rsid w:val="00626A03"/>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97D4-E30E-4D2C-BF0E-D10BBD77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2457</Words>
  <Characters>1401</Characters>
  <Application>Microsoft Office Word</Application>
  <DocSecurity>0</DocSecurity>
  <Lines>11</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USER</cp:lastModifiedBy>
  <cp:revision>61</cp:revision>
  <dcterms:created xsi:type="dcterms:W3CDTF">2019-07-15T09:52:00Z</dcterms:created>
  <dcterms:modified xsi:type="dcterms:W3CDTF">2024-02-26T10:51:00Z</dcterms:modified>
  <dc:language>uk-UA</dc:language>
</cp:coreProperties>
</file>